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ca728a0af97e2e77d59b77a3fad620bf7e971e"/>
    <w:p>
      <w:pPr>
        <w:pStyle w:val="Heading1"/>
      </w:pPr>
      <w:r>
        <w:t xml:space="preserve">Chapter 14: AI for RNA Therapeutics &amp; Nucleic Acid Design</w:t>
      </w:r>
    </w:p>
    <w:p>
      <w:pPr>
        <w:pStyle w:val="FirstParagraph"/>
      </w:pPr>
      <w:r>
        <w:t xml:space="preserve">Chapter 13 closed by handing off to a different real molecular</w:t>
      </w:r>
      <w:r>
        <w:t xml:space="preserve"> </w:t>
      </w:r>
      <w:r>
        <w:t xml:space="preserve">modality: RNA. Every chapter before this one treated nucleic acids</w:t>
      </w:r>
      <w:r>
        <w:t xml:space="preserve"> </w:t>
      </w:r>
      <w:r>
        <w:t xml:space="preserve">either as a genome-scale data source (Chapter 4’s ChEMBL/PubChem/UniProt</w:t>
      </w:r>
      <w:r>
        <w:t xml:space="preserve"> </w:t>
      </w:r>
      <w:r>
        <w:t xml:space="preserve">pipelines) or as the thing a small molecule or a protein binds to; none</w:t>
      </w:r>
      <w:r>
        <w:t xml:space="preserve"> </w:t>
      </w:r>
      <w:r>
        <w:t xml:space="preserve">of them treated RNA itself as the therapeutic modality — the molecule</w:t>
      </w:r>
      <w:r>
        <w:t xml:space="preserve"> </w:t>
      </w:r>
      <w:r>
        <w:t xml:space="preserve">that is designed, optimized, and delivered as a drug. That gap matters</w:t>
      </w:r>
      <w:r>
        <w:t xml:space="preserve"> </w:t>
      </w:r>
      <w:r>
        <w:t xml:space="preserve">now for a concrete, real reason: RNA therapeutics stopped being a</w:t>
      </w:r>
      <w:r>
        <w:t xml:space="preserve"> </w:t>
      </w:r>
      <w:r>
        <w:t xml:space="preserve">niche in the last decade. Small interfering RNA (siRNA) drugs</w:t>
      </w:r>
      <w:r>
        <w:t xml:space="preserve"> </w:t>
      </w:r>
      <w:r>
        <w:t xml:space="preserve">(patisiran, givosiran, lumasiran, inclisiran) and mRNA vaccines both</w:t>
      </w:r>
      <w:r>
        <w:t xml:space="preserve"> </w:t>
      </w:r>
      <w:r>
        <w:t xml:space="preserve">reached real regulatory approval and, in the case of the mRNA</w:t>
      </w:r>
      <w:r>
        <w:t xml:space="preserve"> </w:t>
      </w:r>
      <w:r>
        <w:t xml:space="preserve">COVID-19 vaccines, real global deployment at a scale no earlier</w:t>
      </w:r>
      <w:r>
        <w:t xml:space="preserve"> </w:t>
      </w:r>
      <w:r>
        <w:t xml:space="preserve">nucleic-acid therapeutic approached — built on real, specific molecular</w:t>
      </w:r>
      <w:r>
        <w:t xml:space="preserve"> </w:t>
      </w:r>
      <w:r>
        <w:t xml:space="preserve">design choices this chapter covers directly. RNA is also a</w:t>
      </w:r>
      <w:r>
        <w:t xml:space="preserve"> </w:t>
      </w:r>
      <w:r>
        <w:t xml:space="preserve">biophysically distinct design problem from the small molecules and</w:t>
      </w:r>
      <w:r>
        <w:t xml:space="preserve"> </w:t>
      </w:r>
      <w:r>
        <w:t xml:space="preserve">proteins of Chapters 1-13: it is simultaneously the therapeutic</w:t>
      </w:r>
      <w:r>
        <w:t xml:space="preserve"> </w:t>
      </w:r>
      <w:r>
        <w:t xml:space="preserve">molecule</w:t>
      </w:r>
      <w:r>
        <w:t xml:space="preserve"> </w:t>
      </w:r>
      <w:r>
        <w:rPr>
          <w:i/>
          <w:iCs/>
        </w:rPr>
        <w:t xml:space="preserve">and</w:t>
      </w:r>
      <w:r>
        <w:t xml:space="preserve">, to a much greater extent than a folded protein, an</w:t>
      </w:r>
      <w:r>
        <w:t xml:space="preserve"> </w:t>
      </w:r>
      <w:r>
        <w:t xml:space="preserve">object whose function is legible directly from its own sequence</w:t>
      </w:r>
      <w:r>
        <w:t xml:space="preserve"> </w:t>
      </w:r>
      <w:r>
        <w:t xml:space="preserve">through base-pairing thermodynamics — a property this chapter’s own</w:t>
      </w:r>
      <w:r>
        <w:t xml:space="preserve"> </w:t>
      </w:r>
      <w:r>
        <w:t xml:space="preserve">tooling (Section 14.1) and hands-on project (Section 14.3) both</w:t>
      </w:r>
      <w:r>
        <w:t xml:space="preserve"> </w:t>
      </w:r>
      <w:r>
        <w:t xml:space="preserve">exploit directly, computationally, and cheaply, without the</w:t>
      </w:r>
      <w:r>
        <w:t xml:space="preserve"> </w:t>
      </w:r>
      <w:r>
        <w:t xml:space="preserve">GPU-scale structure-prediction models Part III required for proteins.</w:t>
      </w:r>
    </w:p>
    <w:p>
      <w:pPr>
        <w:pStyle w:val="BodyText"/>
      </w:pPr>
      <w:r>
        <w:t xml:space="preserve">This chapter covers real RNA secondary- and tertiary-structure</w:t>
      </w:r>
      <w:r>
        <w:t xml:space="preserve"> </w:t>
      </w:r>
      <w:r>
        <w:t xml:space="preserve">prediction and what each is actually good for (Section 14.1); the real,</w:t>
      </w:r>
      <w:r>
        <w:t xml:space="preserve"> </w:t>
      </w:r>
      <w:r>
        <w:t xml:space="preserve">established design principles behind optimizing an mRNA or an siRNA for</w:t>
      </w:r>
      <w:r>
        <w:t xml:space="preserve"> </w:t>
      </w:r>
      <w:r>
        <w:t xml:space="preserve">stability, translation, and low immunogenicity (Section 14.2); and a</w:t>
      </w:r>
      <w:r>
        <w:t xml:space="preserve"> </w:t>
      </w:r>
      <w:r>
        <w:t xml:space="preserve">real, complete hands-on project that predicts siRNA knockdown efficacy</w:t>
      </w:r>
      <w:r>
        <w:t xml:space="preserve"> </w:t>
      </w:r>
      <w:r>
        <w:t xml:space="preserve">directly from real, published RNAi silencing data and real,</w:t>
      </w:r>
      <w:r>
        <w:t xml:space="preserve"> </w:t>
      </w:r>
      <w:r>
        <w:t xml:space="preserve">self-computed RNA thermodynamics (Section 14.3).</w:t>
      </w:r>
    </w:p>
    <w:bookmarkStart w:id="13" w:name="rna-structure-prediction"/>
    <w:p>
      <w:pPr>
        <w:pStyle w:val="Heading2"/>
      </w:pPr>
      <w:r>
        <w:t xml:space="preserve">14.1 RNA Structure Prediction</w:t>
      </w:r>
    </w:p>
    <w:bookmarkStart w:id="9" w:name="Xc3c423b661d241a8a67a09b3621d4ffaf9890d0"/>
    <w:p>
      <w:pPr>
        <w:pStyle w:val="Heading3"/>
      </w:pPr>
      <w:r>
        <w:t xml:space="preserve">14.1.1 A different structure-prediction problem than Part III’s</w:t>
      </w:r>
    </w:p>
    <w:p>
      <w:pPr>
        <w:pStyle w:val="FirstParagraph"/>
      </w:pPr>
      <w:r>
        <w:t xml:space="preserve">Part III’s central finding — most explicitly in Chapter 9 — was that</w:t>
      </w:r>
      <w:r>
        <w:t xml:space="preserve"> </w:t>
      </w:r>
      <w:r>
        <w:t xml:space="preserve">protein tertiary structure is extraordinarily hard to predict from</w:t>
      </w:r>
      <w:r>
        <w:t xml:space="preserve"> </w:t>
      </w:r>
      <w:r>
        <w:t xml:space="preserve">sequence alone by first-principles physics, and that it took</w:t>
      </w:r>
      <w:r>
        <w:t xml:space="preserve"> </w:t>
      </w:r>
      <w:r>
        <w:t xml:space="preserve">evolutionary information (multiple sequence alignments) and, later,</w:t>
      </w:r>
      <w:r>
        <w:t xml:space="preserve"> </w:t>
      </w:r>
      <w:r>
        <w:t xml:space="preserve">enormous learned models (AlphaFold2/3, ESMFold) to close that gap.</w:t>
      </w:r>
      <w:r>
        <w:t xml:space="preserve"> </w:t>
      </w:r>
      <w:r>
        <w:t xml:space="preserve">RNA presents almost the opposite profile.</w:t>
      </w:r>
      <w:r>
        <w:t xml:space="preserve"> </w:t>
      </w:r>
      <w:r>
        <w:rPr>
          <w:b/>
          <w:bCs/>
        </w:rPr>
        <w:t xml:space="preserve">RNA secondary structure</w:t>
      </w:r>
      <w:r>
        <w:t xml:space="preserve"> </w:t>
      </w:r>
      <w:r>
        <w:t xml:space="preserve">— the set of Watson-Crick (</w:t>
      </w:r>
      <m:oMath>
        <m:r>
          <m:rPr>
            <m:nor/>
            <m:sty m:val="p"/>
          </m:rPr>
          <m:t>A</m:t>
        </m:r>
        <m:r>
          <m:rPr>
            <m:sty m:val="p"/>
          </m:rPr>
          <m:t>=</m:t>
        </m:r>
        <m:r>
          <m:rPr>
            <m:nor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G</m:t>
        </m:r>
        <m:r>
          <m:rPr>
            <m:sty m:val="p"/>
          </m:rPr>
          <m:t>≡</m:t>
        </m:r>
        <m:r>
          <m:rPr>
            <m:nor/>
            <m:sty m:val="p"/>
          </m:rPr>
          <m:t>C</m:t>
        </m:r>
      </m:oMath>
      <w:r>
        <w:t xml:space="preserve">)</w:t>
      </w:r>
      <w:r>
        <w:t xml:space="preserve"> </w:t>
      </w:r>
      <w:r>
        <w:t xml:space="preserve">and wobble (</w:t>
      </w:r>
      <m:oMath>
        <m:r>
          <m:rPr>
            <m:nor/>
            <m:sty m:val="p"/>
          </m:rPr>
          <m:t>G</m:t>
        </m:r>
        <m:r>
          <m:rPr>
            <m:sty m:val="p"/>
          </m:rPr>
          <m:t>⋅</m:t>
        </m:r>
        <m:r>
          <m:rPr>
            <m:nor/>
            <m:sty m:val="p"/>
          </m:rPr>
          <m:t>U</m:t>
        </m:r>
      </m:oMath>
      <w:r>
        <w:t xml:space="preserve">) base pairs a single RNA strand</w:t>
      </w:r>
      <w:r>
        <w:t xml:space="preserve"> </w:t>
      </w:r>
      <w:r>
        <w:t xml:space="preserve">forms with itself — is, to first approximation, a direct, computable</w:t>
      </w:r>
      <w:r>
        <w:t xml:space="preserve"> </w:t>
      </w:r>
      <w:r>
        <w:t xml:space="preserve">consequence of the sequence’s own nearest-neighbor base-pairing</w:t>
      </w:r>
      <w:r>
        <w:t xml:space="preserve"> </w:t>
      </w:r>
      <w:r>
        <w:t xml:space="preserve">thermodynamics, solvable by exact dynamic programming in polynomial</w:t>
      </w:r>
      <w:r>
        <w:t xml:space="preserve"> </w:t>
      </w:r>
      <w:r>
        <w:t xml:space="preserve">time, no learned model or evolutionary information required. This is</w:t>
      </w:r>
      <w:r>
        <w:t xml:space="preserve"> </w:t>
      </w:r>
      <w:r>
        <w:t xml:space="preserve">not a minor convenience: for many of RNA’s real biological and</w:t>
      </w:r>
      <w:r>
        <w:t xml:space="preserve"> </w:t>
      </w:r>
      <w:r>
        <w:t xml:space="preserve">therapeutic roles — a small interfering RNA’s guide-strand loading, a</w:t>
      </w:r>
      <w:r>
        <w:t xml:space="preserve"> </w:t>
      </w:r>
      <w:r>
        <w:t xml:space="preserve">microRNA’s seed-pairing target recognition, a riboswitch’s</w:t>
      </w:r>
      <w:r>
        <w:t xml:space="preserve"> </w:t>
      </w:r>
      <w:r>
        <w:t xml:space="preserve">ligand-sensing conformational switch, an mRNA vaccine’s 5’ UTR</w:t>
      </w:r>
      <w:r>
        <w:t xml:space="preserve"> </w:t>
      </w:r>
      <w:r>
        <w:t xml:space="preserve">translation efficiency — the 2D secondary structure alone already</w:t>
      </w:r>
      <w:r>
        <w:t xml:space="preserve"> </w:t>
      </w:r>
      <w:r>
        <w:t xml:space="preserve">captures most of what matters functionally, which is exactly why</w:t>
      </w:r>
      <w:r>
        <w:t xml:space="preserve"> </w:t>
      </w:r>
      <w:r>
        <w:t xml:space="preserve">Section 14.3’s hands-on project builds an entire real predictive</w:t>
      </w:r>
      <w:r>
        <w:t xml:space="preserve"> </w:t>
      </w:r>
      <w:r>
        <w:t xml:space="preserve">pipeline on secondary-structure and duplex thermodynamics without</w:t>
      </w:r>
      <w:r>
        <w:t xml:space="preserve"> </w:t>
      </w:r>
      <w:r>
        <w:t xml:space="preserve">ever needing a 3D coordinate.</w:t>
      </w:r>
      <w:r>
        <w:t xml:space="preserve"> </w:t>
      </w:r>
      <w:r>
        <w:rPr>
          <w:b/>
          <w:bCs/>
        </w:rPr>
        <w:t xml:space="preserve">RNA tertiary (3D) structure</w:t>
      </w:r>
      <w:r>
        <w:t xml:space="preserve"> </w:t>
      </w:r>
      <w:r>
        <w:t xml:space="preserve">prediction, by contrast, remains a substantially harder and less mature</w:t>
      </w:r>
      <w:r>
        <w:t xml:space="preserve"> </w:t>
      </w:r>
      <w:r>
        <w:t xml:space="preserve">problem than protein 3D structure prediction is today (Section</w:t>
      </w:r>
      <w:r>
        <w:t xml:space="preserve"> </w:t>
      </w:r>
      <w:r>
        <w:t xml:space="preserve">14.1.4) — the inverse of Part III’s own difficulty ordering.</w:t>
      </w:r>
    </w:p>
    <w:bookmarkEnd w:id="9"/>
    <w:bookmarkStart w:id="10" w:name="Xa37b9c398dc71b21e940a0ef9af7893e564a70a"/>
    <w:p>
      <w:pPr>
        <w:pStyle w:val="Heading3"/>
      </w:pPr>
      <w:r>
        <w:t xml:space="preserve">14.1.2 The nearest-neighbor thermodynamic model and the Zuker MFE algorithm</w:t>
      </w:r>
    </w:p>
    <w:p>
      <w:pPr>
        <w:pStyle w:val="FirstParagraph"/>
      </w:pPr>
      <w:r>
        <w:t xml:space="preserve">A secondary structure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a sequence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set of base</w:t>
      </w:r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with no nucleotide participating in more than one</w:t>
      </w:r>
      <w:r>
        <w:t xml:space="preserve"> </w:t>
      </w:r>
      <w:r>
        <w:t xml:space="preserve">pair and no two pairs</w:t>
      </w:r>
      <w:r>
        <w:t xml:space="preserve"> </w:t>
      </w:r>
      <w:r>
        <w:t xml:space="preserve">“crossing”</w:t>
      </w:r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for two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— the no-pseudoknot restriction Section 14.1.3 returns to).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nearest-neighbor thermodynamic model</w:t>
      </w:r>
      <w:r>
        <w:t xml:space="preserve"> </w:t>
      </w:r>
      <w:r>
        <w:t xml:space="preserve">(Turner &amp; Mathews, 2010)</w:t>
      </w:r>
      <w:r>
        <w:t xml:space="preserve"> </w:t>
      </w:r>
      <w:r>
        <w:t xml:space="preserve">assigns structure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 total free energy as an additive sum over its</w:t>
      </w:r>
      <w:r>
        <w:t xml:space="preserve"> </w:t>
      </w:r>
      <w:r>
        <w:t xml:space="preserve">local structural elements — stacked base pairs, hairpin loops, bulges,</w:t>
      </w:r>
      <w:r>
        <w:t xml:space="preserve"> </w:t>
      </w:r>
      <w:r>
        <w:t xml:space="preserve">internal loops, and multi-branch loops — each parameterized by a real,</w:t>
      </w:r>
      <w:r>
        <w:t xml:space="preserve"> </w:t>
      </w:r>
      <w:r>
        <w:t xml:space="preserve">experimentally measured free-energy increment (from UV-melting</w:t>
      </w:r>
      <w:r>
        <w:t xml:space="preserve"> </w:t>
      </w:r>
      <w:r>
        <w:t xml:space="preserve">experiments on thousands of short synthetic duplexes, curated into the</w:t>
      </w:r>
      <w:r>
        <w:t xml:space="preserve"> </w:t>
      </w:r>
      <w:r>
        <w:t xml:space="preserve">Nearest Neighbor Database, NNDB). A stacked pair of adjacent Watson-Crick</w:t>
      </w:r>
      <w:r>
        <w:t xml:space="preserve"> </w:t>
      </w:r>
      <w:r>
        <w:t xml:space="preserve">base pairs, for instance, contributes a real, sequence-context-specific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 </m:t>
        </m:r>
        <m:r>
          <m:rPr>
            <m:nor/>
            <m:sty m:val="p"/>
          </m:rPr>
          <m:t>kcal/mol</m:t>
        </m:r>
      </m:oMath>
      <w:r>
        <w:t xml:space="preserve">; an unpaired hairpin</w:t>
      </w:r>
      <w:r>
        <w:t xml:space="preserve"> </w:t>
      </w:r>
      <w:r>
        <w:t xml:space="preserve">loop contributes a real, loop-length-dependent</w:t>
      </w:r>
      <w:r>
        <w:t xml:space="preserve"> </w:t>
      </w:r>
      <w:r>
        <w:rPr>
          <w:i/>
          <w:iCs/>
        </w:rPr>
        <w:t xml:space="preserve">penalty</w:t>
      </w:r>
      <w:r>
        <w:t xml:space="preserve"> </w:t>
      </w:r>
      <w:r>
        <w:t xml:space="preserve">(entropic cost</w:t>
      </w:r>
      <w:r>
        <w:t xml:space="preserve"> </w:t>
      </w:r>
      <w:r>
        <w:t xml:space="preserve">of constraining a loop). No physics-based first-principles calculation</w:t>
      </w:r>
      <w:r>
        <w:t xml:space="preserve"> </w:t>
      </w:r>
      <w:r>
        <w:t xml:space="preserve">is involved — the model is entirely built from these curated,</w:t>
      </w:r>
      <w:r>
        <w:t xml:space="preserve"> </w:t>
      </w:r>
      <w:r>
        <w:t xml:space="preserve">real, measured increments, exactly the same</w:t>
      </w:r>
      <w:r>
        <w:t xml:space="preserve"> </w:t>
      </w:r>
      <w:r>
        <w:t xml:space="preserve">“trust real, published</w:t>
      </w:r>
      <w:r>
        <w:t xml:space="preserve"> </w:t>
      </w:r>
      <w:r>
        <w:t xml:space="preserve">experimental measurements over a from-scratch physical simulation”</w:t>
      </w:r>
      <w:r>
        <w:t xml:space="preserve"> </w:t>
      </w:r>
      <w:r>
        <w:t xml:space="preserve">strategy Chapter 6’s bond-length priors and Chapter 12’s classical force</w:t>
      </w:r>
      <w:r>
        <w:t xml:space="preserve"> </w:t>
      </w:r>
      <w:r>
        <w:t xml:space="preserve">fields both already relied on.</w:t>
      </w:r>
    </w:p>
    <w:p>
      <w:pPr>
        <w:pStyle w:val="BodyText"/>
      </w:pPr>
      <w:r>
        <w:t xml:space="preserve">Finding the secondary structure that minimizes this total free energy —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free energy (MFE) structure</w:t>
      </w:r>
      <w:r>
        <w:t xml:space="preserve"> </w:t>
      </w:r>
      <w:r>
        <w:t xml:space="preserve">— is the real dynamic</w:t>
      </w:r>
      <w:r>
        <w:t xml:space="preserve"> </w:t>
      </w:r>
      <w:r>
        <w:t xml:space="preserve">program Zuker and Stiegler (1981) introduced (the algorithm ViennaRNA’s</w:t>
      </w:r>
      <w:r>
        <w:t xml:space="preserve"> </w:t>
      </w:r>
      <w:r>
        <w:rPr>
          <w:rStyle w:val="VerbatimChar"/>
        </w:rPr>
        <w:t xml:space="preserve">RNA.fold()</w:t>
      </w:r>
      <w:r>
        <w:t xml:space="preserve"> </w:t>
      </w:r>
      <w:r>
        <w:t xml:space="preserve">still implements, in a considerably more complete and</w:t>
      </w:r>
      <w:r>
        <w:t xml:space="preserve"> </w:t>
      </w:r>
      <w:r>
        <w:t xml:space="preserve">optimized form, four decades later). Two coupled recursions suffice for</w:t>
      </w:r>
      <w:r>
        <w:t xml:space="preserve"> </w:t>
      </w:r>
      <w:r>
        <w:t xml:space="preserve">the pseudoknot-free case: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, the MFE over the prefix</w:t>
      </w:r>
      <w:r>
        <w:t xml:space="preserve"> </w:t>
      </w:r>
      <m:oMath>
        <m:r>
          <m:t>1</m:t>
        </m:r>
        <m:r>
          <m:rPr>
            <m:sty m:val="p"/>
          </m:rPr>
          <m:t>…</m:t>
        </m:r>
        <m:r>
          <m:t>j</m:t>
        </m:r>
      </m:oMath>
      <w:r>
        <w:t xml:space="preserve"> </w:t>
      </w:r>
      <w:r>
        <w:t xml:space="preserve">allowing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to be unpaired or paired to any earlier position, 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the MFE over the substructure enclosed by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pairs: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</m:lim>
              </m:limLow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</m:lim>
              </m:limLow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rPr>
                      <m:nor/>
                      <m:sty m:val="p"/>
                    </m:rPr>
                    <m:t>multiloop split</m:t>
                  </m:r>
                </m:lim>
              </m:limLow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⋯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  <m:r>
          <m:t>H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real, measured hairpin-loop energy for closing</w:t>
      </w:r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e</m:t>
        </m:r>
        <m:r>
          <m:t>L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real, measured stacking or</w:t>
      </w:r>
      <w:r>
        <w:t xml:space="preserve"> </w:t>
      </w:r>
      <w:r>
        <w:t xml:space="preserve">internal/bulge-loop energy between an outer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and an inner</w:t>
      </w:r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(a simple stack when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; a bulge or</w:t>
      </w:r>
      <w:r>
        <w:t xml:space="preserve"> </w:t>
      </w:r>
      <w:r>
        <w:t xml:space="preserve">internal loop otherwise). Filling both matrices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space and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 (the internal-loop term’s own double sum, in its</w:t>
      </w:r>
      <w:r>
        <w:t xml:space="preserve"> </w:t>
      </w:r>
      <w:r>
        <w:t xml:space="preserve">unoptimized form) — fast enough to fold thousands of siRNA-length</w:t>
      </w:r>
      <w:r>
        <w:t xml:space="preserve"> </w:t>
      </w:r>
      <w:r>
        <w:t xml:space="preserve">sequences in well under a second each, which is precisely why Section</w:t>
      </w:r>
      <w:r>
        <w:t xml:space="preserve"> </w:t>
      </w:r>
      <w:r>
        <w:t xml:space="preserve">14.3’s project can afford to fold every one of 2,361 real sequences</w:t>
      </w:r>
      <w:r>
        <w:t xml:space="preserve"> </w:t>
      </w:r>
      <w:r>
        <w:t xml:space="preserve">individually rather than relying on any pre-computed structural</w:t>
      </w:r>
      <w:r>
        <w:t xml:space="preserve"> </w:t>
      </w:r>
      <w:r>
        <w:t xml:space="preserve">feature.</w:t>
      </w:r>
    </w:p>
    <w:bookmarkEnd w:id="10"/>
    <w:bookmarkStart w:id="11" w:name="X794f5676725f83393e26f47fb9906a74600f8d0"/>
    <w:p>
      <w:pPr>
        <w:pStyle w:val="Heading3"/>
      </w:pPr>
      <w:r>
        <w:t xml:space="preserve">14.1.3 The McCaskill partition function and what it buys beyond the single MFE structure</w:t>
      </w:r>
    </w:p>
    <w:p>
      <w:pPr>
        <w:pStyle w:val="FirstParagraph"/>
      </w:pPr>
      <w:r>
        <w:t xml:space="preserve">The MFE structure is a single point estimate — the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lowest-energy</w:t>
      </w:r>
      <w:r>
        <w:t xml:space="preserve"> </w:t>
      </w:r>
      <w:r>
        <w:t xml:space="preserve">fold — but a real RNA molecule in solution exists as a thermal ensemble</w:t>
      </w:r>
      <w:r>
        <w:t xml:space="preserve"> </w:t>
      </w:r>
      <w:r>
        <w:t xml:space="preserve">over many accessible conformations, particularly in loosely structured</w:t>
      </w:r>
      <w:r>
        <w:t xml:space="preserve"> </w:t>
      </w:r>
      <w:r>
        <w:t xml:space="preserve">or marginal-energy regions. McCaskill’s (1990) partition-function</w:t>
      </w:r>
      <w:r>
        <w:t xml:space="preserve"> </w:t>
      </w:r>
      <w:r>
        <w:t xml:space="preserve">algorithm replaces Zuker’s</w:t>
      </w:r>
      <w:r>
        <w:t xml:space="preserve"> </w:t>
      </w:r>
      <m:oMath>
        <m:r>
          <m:rPr>
            <m:sty m:val="p"/>
          </m:rPr>
          <m:t>min</m:t>
        </m:r>
      </m:oMath>
      <w:r>
        <w:t xml:space="preserve"> </w:t>
      </w:r>
      <w:r>
        <w:t xml:space="preserve">recursions with the analogous</w:t>
      </w:r>
      <w:r>
        <w:t xml:space="preserve"> </w:t>
      </w:r>
      <m:oMath>
        <m:r>
          <m:rPr>
            <m:sty m:val="p"/>
          </m:rPr>
          <m:t>log</m:t>
        </m:r>
        <m:r>
          <m:rPr>
            <m:nor/>
            <m:sty m:val="p"/>
          </m:rPr>
          <m:t>-sum-</m:t>
        </m:r>
        <m:r>
          <m:rPr>
            <m:sty m:val="p"/>
          </m:rPr>
          <m:t>exp</m:t>
        </m:r>
      </m:oMath>
      <w:r>
        <w:t xml:space="preserve"> </w:t>
      </w:r>
      <w:r>
        <w:t xml:space="preserve">recursions over the same pseudoknot-free</w:t>
      </w:r>
      <w:r>
        <w:t xml:space="preserve"> </w:t>
      </w:r>
      <w:r>
        <w:t xml:space="preserve">structure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 computing the real Boltzmann-weighted</w:t>
      </w:r>
      <w:r>
        <w:t xml:space="preserve"> </w:t>
      </w:r>
      <w:r>
        <w:t xml:space="preserve">partition function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and, from it, the real</w:t>
      </w:r>
      <w:r>
        <w:t xml:space="preserve"> </w:t>
      </w:r>
      <w:r>
        <w:rPr>
          <w:b/>
          <w:bCs/>
        </w:rPr>
        <w:t xml:space="preserve">base-pair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t xml:space="preserve">fraction of the thermal ensemble in which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actually paired: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This is directly useful, not merely a theoretical refinement. This</w:t>
      </w:r>
      <w:r>
        <w:t xml:space="preserve"> </w:t>
      </w:r>
      <w:r>
        <w:t xml:space="preserve">chapter’s own hands-on project (Section 14.3) uses it twice: the</w:t>
      </w:r>
      <w:r>
        <w:t xml:space="preserve"> </w:t>
      </w:r>
      <w:r>
        <w:rPr>
          <w:b/>
          <w:bCs/>
        </w:rPr>
        <w:t xml:space="preserve">mean</w:t>
      </w:r>
      <w:r>
        <w:rPr>
          <w:b/>
          <w:bCs/>
        </w:rPr>
        <w:t xml:space="preserve"> </w:t>
      </w:r>
      <w:r>
        <w:rPr>
          <w:b/>
          <w:bCs/>
        </w:rPr>
        <w:t xml:space="preserve">base-pair distance</w:t>
      </w:r>
      <w:r>
        <w:t xml:space="preserve"> </w:t>
      </w:r>
      <w:r>
        <w:t xml:space="preserve">to the ensemble (</w:t>
      </w:r>
      <w:r>
        <w:rPr>
          <w:rStyle w:val="VerbatimChar"/>
        </w:rPr>
        <w:t xml:space="preserve">RNA.fold_compound.mean_bp_distance</w:t>
      </w:r>
      <w:r>
        <w:t xml:space="preserve">,</w:t>
      </w:r>
      <w:r>
        <w:t xml:space="preserve"> </w:t>
      </w:r>
      <w:r>
        <w:t xml:space="preserve">ViennaRNA’s real ensemble-diversity statistic) as a confidence-like</w:t>
      </w:r>
      <w:r>
        <w:t xml:space="preserve"> </w:t>
      </w:r>
      <w:r>
        <w:t xml:space="preserve">feature — a guide strand whose MFE structure is close to the entire</w:t>
      </w:r>
      <w:r>
        <w:t xml:space="preserve"> </w:t>
      </w:r>
      <w:r>
        <w:t xml:space="preserve">thermal ensemble is a confident, well-determined fold, while a large</w:t>
      </w:r>
      <w:r>
        <w:t xml:space="preserve"> </w:t>
      </w:r>
      <w:r>
        <w:t xml:space="preserve">mean distance flags a genuinely undetermined structure, exactly the</w:t>
      </w:r>
      <w:r>
        <w:t xml:space="preserve"> </w:t>
      </w:r>
      <w:r>
        <w:t xml:space="preserve">role pLDDT’s</w:t>
      </w:r>
      <w:r>
        <w:t xml:space="preserve"> </w:t>
      </w:r>
      <w:r>
        <w:rPr>
          <w:i/>
          <w:iCs/>
        </w:rPr>
        <w:t xml:space="preserve">confidence</w:t>
      </w:r>
      <w:r>
        <w:t xml:space="preserve">, not</w:t>
      </w:r>
      <w:r>
        <w:t xml:space="preserve"> </w:t>
      </w:r>
      <w:r>
        <w:rPr>
          <w:i/>
          <w:iCs/>
        </w:rPr>
        <w:t xml:space="preserve">accuracy</w:t>
      </w:r>
      <w:r>
        <w:t xml:space="preserve">, framing played for protein</w:t>
      </w:r>
      <w:r>
        <w:t xml:space="preserve"> </w:t>
      </w:r>
      <w:r>
        <w:t xml:space="preserve">structures in Chapter 9 — and, more directly, the real target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calculation the next paragraph describes, the single</w:t>
      </w:r>
      <w:r>
        <w:t xml:space="preserve"> </w:t>
      </w:r>
      <w:r>
        <w:t xml:space="preserve">most important RNA-thermodynamic feature this chapter’s own model</w:t>
      </w:r>
      <w:r>
        <w:t xml:space="preserve"> </w:t>
      </w:r>
      <w:r>
        <w:t xml:space="preserve">relies on.</w:t>
      </w:r>
    </w:p>
    <w:p>
      <w:pPr>
        <w:pStyle w:val="BodyText"/>
      </w:pPr>
      <w:r>
        <w:rPr>
          <w:b/>
          <w:bCs/>
        </w:rPr>
        <w:t xml:space="preserve">Target-site accessibility.</w:t>
      </w:r>
      <w:r>
        <w:t xml:space="preserve"> </w:t>
      </w:r>
      <w:r>
        <w:t xml:space="preserve">A target mRNA site that is already</w:t>
      </w:r>
      <w:r>
        <w:t xml:space="preserve"> </w:t>
      </w:r>
      <w:r>
        <w:t xml:space="preserve">single-stranded in its own local secondary structure is easy for RISC</w:t>
      </w:r>
      <w:r>
        <w:t xml:space="preserve"> </w:t>
      </w:r>
      <w:r>
        <w:t xml:space="preserve">(the RNA-induced silencing complex) to engage; a site buried inside a</w:t>
      </w:r>
      <w:r>
        <w:t xml:space="preserve"> </w:t>
      </w:r>
      <w:r>
        <w:t xml:space="preserve">stable stem-loop is not, regardless of how good the siRNA-target</w:t>
      </w:r>
      <w:r>
        <w:t xml:space="preserve"> </w:t>
      </w:r>
      <w:r>
        <w:t xml:space="preserve">duplex would be in isolation — an established, real determinant of</w:t>
      </w:r>
      <w:r>
        <w:t xml:space="preserve"> </w:t>
      </w:r>
      <w:r>
        <w:t xml:space="preserve">siRNA potency RNAup (Mückstein et al., 2006) was built specifically to</w:t>
      </w:r>
      <w:r>
        <w:t xml:space="preserve"> </w:t>
      </w:r>
      <w:r>
        <w:t xml:space="preserve">quantify. This chapter’s own</w:t>
      </w:r>
      <w:r>
        <w:t xml:space="preserve"> </w:t>
      </w:r>
      <w:r>
        <w:rPr>
          <w:rStyle w:val="VerbatimChar"/>
        </w:rPr>
        <w:t xml:space="preserve">target_accessibility_features()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sirna_efficacy.py</w:t>
      </w:r>
      <w:r>
        <w:t xml:space="preserve">) computes the same real quantity RNAup does, by</w:t>
      </w:r>
      <w:r>
        <w:t xml:space="preserve"> </w:t>
      </w:r>
      <w:r>
        <w:t xml:space="preserve">the most direct real route ViennaRNA’s Python bindings expose: fold the</w:t>
      </w:r>
      <w:r>
        <w:t xml:space="preserve"> </w:t>
      </w:r>
      <w:r>
        <w:t xml:space="preserve">57-nt real local genomic context once unconstrained (real MFE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free</m:t>
            </m:r>
          </m:sub>
        </m:sSub>
      </m:oMath>
      <w:r>
        <w:t xml:space="preserve">), fold it again with a real hard constraint</w:t>
      </w:r>
      <w:r>
        <w:t xml:space="preserve"> </w:t>
      </w:r>
      <w:r>
        <w:t xml:space="preserve">(</w:t>
      </w:r>
      <w:r>
        <w:rPr>
          <w:rStyle w:val="VerbatimChar"/>
        </w:rPr>
        <w:t xml:space="preserve">fold_compound.hc_add_up</w:t>
      </w:r>
      <w:r>
        <w:t xml:space="preserve">) forcing every position in the central 19-nt</w:t>
      </w:r>
      <w:r>
        <w:t xml:space="preserve"> </w:t>
      </w:r>
      <w:r>
        <w:t xml:space="preserve">target window to be unpaired (real MFE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open</m:t>
            </m:r>
          </m:sub>
        </m:sSub>
      </m:oMath>
      <w:r>
        <w:t xml:space="preserve">), and report</w:t>
      </w:r>
      <w:r>
        <w:t xml:space="preserve"> </w:t>
      </w:r>
      <w:r>
        <w:t xml:space="preserve">the real, non-negative energetic cost of opening that window,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open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open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free</m:t>
              </m:r>
            </m:sub>
          </m:sSub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target_accessibility_features(extended_target: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fc_free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RNA.fold_compound(extended_target)</w:t>
      </w:r>
      <w:r>
        <w:br/>
      </w:r>
      <w:r>
        <w:rPr>
          <w:rStyle w:val="NormalTok"/>
        </w:rPr>
        <w:t xml:space="preserve">    _s_free, mfe_free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fc_free.mfe()</w:t>
      </w:r>
      <w:r>
        <w:br/>
      </w:r>
      <w:r>
        <w:br/>
      </w:r>
      <w:r>
        <w:rPr>
          <w:rStyle w:val="NormalTok"/>
        </w:rPr>
        <w:t xml:space="preserve">    fc_open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RNA.fold_compound(extended_target)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(TARGET_WINDOW.start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TARGET_WINDOW.stop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1-indexed</w:t>
      </w:r>
      <w:r>
        <w:br/>
      </w:r>
      <w:r>
        <w:rPr>
          <w:rStyle w:val="NormalTok"/>
        </w:rPr>
        <w:t xml:space="preserve">        fc_open.hc_add_up(i)</w:t>
      </w:r>
      <w:r>
        <w:br/>
      </w:r>
      <w:r>
        <w:rPr>
          <w:rStyle w:val="NormalTok"/>
        </w:rPr>
        <w:t xml:space="preserve">    _s_open, mfe_open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fc_open.mfe()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"target_unconstrained_mfe"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(mfe_free,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"target_opening_energy"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(mfe_open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mfe_free,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A concrete, real example from this chapter’s own cached data (Section</w:t>
      </w:r>
      <w:r>
        <w:t xml:space="preserve"> </w:t>
      </w:r>
      <w:r>
        <w:t xml:space="preserve">14.3): the real Huesken siRNA</w:t>
      </w:r>
      <w:r>
        <w:t xml:space="preserve"> </w:t>
      </w:r>
      <w:r>
        <w:rPr>
          <w:rStyle w:val="VerbatimChar"/>
        </w:rPr>
        <w:t xml:space="preserve">GGAAGGUGAUGCUUAUAUU</w:t>
      </w:r>
      <w:r>
        <w:t xml:space="preserve">, targeting its real</w:t>
      </w:r>
      <w:r>
        <w:t xml:space="preserve"> </w:t>
      </w:r>
      <w:r>
        <w:t xml:space="preserve">57-nt local context, has an unconstrained MFE of</w:t>
      </w:r>
      <w:r>
        <w:t xml:space="preserve"> </w:t>
      </w:r>
      <m:oMath>
        <m:r>
          <m:rPr>
            <m:sty m:val="p"/>
          </m:rPr>
          <m:t>−</m:t>
        </m:r>
        <m:r>
          <m:t>7.8</m:t>
        </m:r>
        <m:r>
          <m:t> </m:t>
        </m:r>
        <m:r>
          <m:rPr>
            <m:nor/>
            <m:sty m:val="p"/>
          </m:rPr>
          <m:t>kcal/mol</m:t>
        </m:r>
      </m:oMath>
      <w:r>
        <w:t xml:space="preserve"> </w:t>
      </w:r>
      <w:r>
        <w:t xml:space="preserve">and a constrained (target-window-forced-open) MFE of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  <m:r>
          <m:t> </m:t>
        </m:r>
        <m:r>
          <m:rPr>
            <m:nor/>
            <m:sty m:val="p"/>
          </m:rPr>
          <m:t>kcal/mol</m:t>
        </m:r>
      </m:oMath>
      <w:r>
        <w:t xml:space="preserve"> </w:t>
      </w:r>
      <w:r>
        <w:t xml:space="preserve">— an opening energy of</w:t>
      </w:r>
      <w:r>
        <w:t xml:space="preserve"> </w:t>
      </w:r>
      <m:oMath>
        <m:r>
          <m:t>6.3</m:t>
        </m:r>
        <m:r>
          <m:t> </m:t>
        </m:r>
        <m:r>
          <m:rPr>
            <m:nor/>
            <m:sty m:val="p"/>
          </m:rPr>
          <m:t>kcal/mol</m:t>
        </m:r>
      </m:oMath>
      <w:r>
        <w:t xml:space="preserve">,</w:t>
      </w:r>
      <w:r>
        <w:t xml:space="preserve"> </w:t>
      </w:r>
      <w:r>
        <w:t xml:space="preserve">a real, substantial accessibility penalty (its measured knockdown</w:t>
      </w:r>
      <w:r>
        <w:t xml:space="preserve"> </w:t>
      </w:r>
      <w:r>
        <w:t xml:space="preserve">efficiency, on this dataset’s real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scale, is a modest</w:t>
      </w:r>
      <w:r>
        <w:t xml:space="preserve"> </w:t>
      </w:r>
      <m:oMath>
        <m:r>
          <m:t>0.39</m:t>
        </m:r>
      </m:oMath>
      <w:r>
        <w:t xml:space="preserve">).</w:t>
      </w:r>
      <w:r>
        <w:t xml:space="preserve"> </w:t>
      </w:r>
      <w:r>
        <w:t xml:space="preserve">By contrast,</w:t>
      </w:r>
      <w:r>
        <w:t xml:space="preserve"> </w:t>
      </w:r>
      <w:r>
        <w:rPr>
          <w:rStyle w:val="VerbatimChar"/>
        </w:rPr>
        <w:t xml:space="preserve">UUAGUGAGAAUUCUGCAAC</w:t>
      </w:r>
      <w:r>
        <w:t xml:space="preserve">, a real siRNA measured at</w:t>
      </w:r>
      <w:r>
        <w:t xml:space="preserve"> </w:t>
      </w:r>
      <m:oMath>
        <m:r>
          <m:t>0.91</m:t>
        </m:r>
      </m:oMath>
      <w:r>
        <w:t xml:space="preserve"> </w:t>
      </w:r>
      <w:r>
        <w:t xml:space="preserve">efficiency, has an opening energy of only</w:t>
      </w:r>
      <w:r>
        <w:t xml:space="preserve"> </w:t>
      </w:r>
      <m:oMath>
        <m:r>
          <m:t>4.9</m:t>
        </m:r>
        <m:r>
          <m:t> </m:t>
        </m:r>
        <m:r>
          <m:rPr>
            <m:nor/>
            <m:sty m:val="p"/>
          </m:rPr>
          <m:t>kcal/mol</m:t>
        </m:r>
      </m:oMath>
      <w:r>
        <w:t xml:space="preserve"> </w:t>
      </w:r>
      <w:r>
        <w:t xml:space="preserve">— a</w:t>
      </w:r>
      <w:r>
        <w:t xml:space="preserve"> </w:t>
      </w:r>
      <w:r>
        <w:t xml:space="preserve">real, less-structured, more accessible target site, consistent with,</w:t>
      </w:r>
      <w:r>
        <w:t xml:space="preserve"> </w:t>
      </w:r>
      <w:r>
        <w:t xml:space="preserve">though not proof of, the accessibility hypothesis; Section 14.3’s own</w:t>
      </w:r>
      <w:r>
        <w:t xml:space="preserve"> </w:t>
      </w:r>
      <w:r>
        <w:t xml:space="preserve">feature-importance results (not this one illustrative pair) are the</w:t>
      </w:r>
      <w:r>
        <w:t xml:space="preserve"> </w:t>
      </w:r>
      <w:r>
        <w:t xml:space="preserve">real, quantitative test of that hypothesis on the full dataset.</w:t>
      </w:r>
    </w:p>
    <w:bookmarkEnd w:id="11"/>
    <w:bookmarkStart w:id="12" w:name="X899c0b505a6408f0287845ac6d82bfafb5748fd"/>
    <w:p>
      <w:pPr>
        <w:pStyle w:val="Heading3"/>
      </w:pPr>
      <w:r>
        <w:t xml:space="preserve">14.1.4 RNA tertiary (3D) structure prediction: real tools and an honest scope decision</w:t>
      </w:r>
    </w:p>
    <w:p>
      <w:pPr>
        <w:pStyle w:val="FirstParagraph"/>
      </w:pPr>
      <w:r>
        <w:t xml:space="preserve">RNA 3D structure prediction has progressed substantially over the past</w:t>
      </w:r>
      <w:r>
        <w:t xml:space="preserve"> </w:t>
      </w:r>
      <w:r>
        <w:t xml:space="preserve">two decades but has not reached anything resembling AlphaFold’s</w:t>
      </w:r>
      <w:r>
        <w:t xml:space="preserve"> </w:t>
      </w:r>
      <w:r>
        <w:t xml:space="preserve">transformation of protein structure prediction.</w:t>
      </w:r>
      <w:r>
        <w:t xml:space="preserve"> </w:t>
      </w:r>
      <w:r>
        <w:rPr>
          <w:b/>
          <w:bCs/>
        </w:rPr>
        <w:t xml:space="preserve">FARFAR2</w:t>
      </w:r>
      <w:r>
        <w:t xml:space="preserve"> </w:t>
      </w:r>
      <w:r>
        <w:t xml:space="preserve">(Watkins,</w:t>
      </w:r>
      <w:r>
        <w:t xml:space="preserve"> </w:t>
      </w:r>
      <w:r>
        <w:t xml:space="preserve">Rangan, &amp; Das, 2020, building on Das &amp; Baker’s 2007 original FARFAR),</w:t>
      </w:r>
      <w:r>
        <w:t xml:space="preserve"> </w:t>
      </w:r>
      <w:r>
        <w:t xml:space="preserve">Rosetta’s fragment-assembly RNA 3D predictor, samples candidate</w:t>
      </w:r>
      <w:r>
        <w:t xml:space="preserve"> </w:t>
      </w:r>
      <w:r>
        <w:t xml:space="preserve">tertiary folds by recombining short structural fragments drawn from</w:t>
      </w:r>
      <w:r>
        <w:t xml:space="preserve"> </w:t>
      </w:r>
      <w:r>
        <w:t xml:space="preserve">known RNA structures and scoring them with a real, physics-informed</w:t>
      </w:r>
      <w:r>
        <w:t xml:space="preserve"> </w:t>
      </w:r>
      <w:r>
        <w:t xml:space="preserve">energy function.</w:t>
      </w:r>
      <w:r>
        <w:t xml:space="preserve"> </w:t>
      </w:r>
      <w:r>
        <w:rPr>
          <w:b/>
          <w:bCs/>
        </w:rPr>
        <w:t xml:space="preserve">ARES</w:t>
      </w:r>
      <w:r>
        <w:t xml:space="preserve"> </w:t>
      </w:r>
      <w:r>
        <w:t xml:space="preserve">(Townshend et al., 2021) took a different,</w:t>
      </w:r>
      <w:r>
        <w:t xml:space="preserve"> </w:t>
      </w:r>
      <w:r>
        <w:t xml:space="preserve">now-familiar approach — a real, rotation-equivariant graph neural</w:t>
      </w:r>
      <w:r>
        <w:t xml:space="preserve"> </w:t>
      </w:r>
      <w:r>
        <w:t xml:space="preserve">network (the same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-equivariance principle Chapter 6 §6.4</w:t>
      </w:r>
      <w:r>
        <w:t xml:space="preserve"> </w:t>
      </w:r>
      <w:r>
        <w:t xml:space="preserve">introduced for small-molecule 3D networks) trained to re-score and</w:t>
      </w:r>
      <w:r>
        <w:t xml:space="preserve"> </w:t>
      </w:r>
      <w:r>
        <w:t xml:space="preserve">rank FARFAR-generated candidate structures directly against real,</w:t>
      </w:r>
      <w:r>
        <w:t xml:space="preserve"> </w:t>
      </w:r>
      <w:r>
        <w:t xml:space="preserve">experimental accuracy, rather than a physics-based energy alone.</w:t>
      </w:r>
      <w:r>
        <w:t xml:space="preserve"> </w:t>
      </w:r>
      <w:r>
        <w:t xml:space="preserve">More recently, end-to-end deep-learning predictors have emerged</w:t>
      </w:r>
      <w:r>
        <w:t xml:space="preserve"> </w:t>
      </w:r>
      <w:r>
        <w:t xml:space="preserve">directly in AlphaFold’s own methodological lineage:</w:t>
      </w:r>
      <w:r>
        <w:t xml:space="preserve"> </w:t>
      </w:r>
      <w:r>
        <w:rPr>
          <w:b/>
          <w:bCs/>
        </w:rPr>
        <w:t xml:space="preserve">RoseTTAFoldNA</w:t>
      </w:r>
      <w:r>
        <w:t xml:space="preserve"> </w:t>
      </w:r>
      <w:r>
        <w:t xml:space="preserve">(Baek et al., 2024), extending the RoseTTAFold protein-structure</w:t>
      </w:r>
      <w:r>
        <w:t xml:space="preserve"> </w:t>
      </w:r>
      <w:r>
        <w:t xml:space="preserve">architecture to jointly model protein-nucleic-acid complexes;</w:t>
      </w:r>
      <w:r>
        <w:t xml:space="preserve"> </w:t>
      </w:r>
      <w:r>
        <w:rPr>
          <w:b/>
          <w:bCs/>
        </w:rPr>
        <w:t xml:space="preserve">trRosettaRNA</w:t>
      </w:r>
      <w:r>
        <w:t xml:space="preserve"> </w:t>
      </w:r>
      <w:r>
        <w:t xml:space="preserve">(Wang et al., 2023), a transformer-network RNA 3D</w:t>
      </w:r>
      <w:r>
        <w:t xml:space="preserve"> </w:t>
      </w:r>
      <w:r>
        <w:t xml:space="preserve">predictor; and</w:t>
      </w:r>
      <w:r>
        <w:t xml:space="preserve"> </w:t>
      </w:r>
      <w:r>
        <w:rPr>
          <w:b/>
          <w:bCs/>
        </w:rPr>
        <w:t xml:space="preserve">DRfold</w:t>
      </w:r>
      <w:r>
        <w:t xml:space="preserve"> </w:t>
      </w:r>
      <w:r>
        <w:t xml:space="preserve">(Li et al., 2023), which integrates learned</w:t>
      </w:r>
      <w:r>
        <w:t xml:space="preserve"> </w:t>
      </w:r>
      <w:r>
        <w:t xml:space="preserve">geometric potentials with end-to-end structure generation.</w:t>
      </w:r>
    </w:p>
    <w:p>
      <w:pPr>
        <w:pStyle w:val="BodyText"/>
      </w:pPr>
      <w:r>
        <w:t xml:space="preserve">Despite this real progress, independent, blinded benchmarking — most</w:t>
      </w:r>
      <w:r>
        <w:t xml:space="preserve"> </w:t>
      </w:r>
      <w:r>
        <w:t xml:space="preserve">visibly the RNA-Puzzles community trials and RNA’s first inclusion as</w:t>
      </w:r>
      <w:r>
        <w:t xml:space="preserve"> </w:t>
      </w:r>
      <w:r>
        <w:t xml:space="preserve">a CASP15 prediction category — has consistently found RNA 3D structure</w:t>
      </w:r>
      <w:r>
        <w:t xml:space="preserve"> </w:t>
      </w:r>
      <w:r>
        <w:t xml:space="preserve">prediction accuracy well behind protein structure prediction’s own</w:t>
      </w:r>
      <w:r>
        <w:t xml:space="preserve"> </w:t>
      </w:r>
      <w:r>
        <w:t xml:space="preserve">CASP14/AlphaFold2-era benchmarks, for reasons intrinsic to the</w:t>
      </w:r>
      <w:r>
        <w:t xml:space="preserve"> </w:t>
      </w:r>
      <w:r>
        <w:t xml:space="preserve">problem rather than to any one tool: RNA’s tertiary contacts (coaxial</w:t>
      </w:r>
      <w:r>
        <w:t xml:space="preserve"> </w:t>
      </w:r>
      <w:r>
        <w:t xml:space="preserve">stacking, ribose-zipper and A-minor motifs, long-range tertiary base</w:t>
      </w:r>
      <w:r>
        <w:t xml:space="preserve"> </w:t>
      </w:r>
      <w:r>
        <w:t xml:space="preserve">pairs) are individually weaker and more conformationally flexible than</w:t>
      </w:r>
      <w:r>
        <w:t xml:space="preserve"> </w:t>
      </w:r>
      <w:r>
        <w:t xml:space="preserve">a folded protein’s hydrophobic core, and the training data available —</w:t>
      </w:r>
      <w:r>
        <w:t xml:space="preserve"> </w:t>
      </w:r>
      <w:r>
        <w:t xml:space="preserve">the Protein Data Bank’s own RNA-only tertiary structures — is a much</w:t>
      </w:r>
      <w:r>
        <w:t xml:space="preserve"> </w:t>
      </w:r>
      <w:r>
        <w:t xml:space="preserve">smaller, more repetitive corpus (dominated by rRNA, tRNA, and a</w:t>
      </w:r>
      <w:r>
        <w:t xml:space="preserve"> </w:t>
      </w:r>
      <w:r>
        <w:t xml:space="preserve">handful of riboswitch/ribozyme families) than the protein structural</w:t>
      </w:r>
      <w:r>
        <w:t xml:space="preserve"> </w:t>
      </w:r>
      <w:r>
        <w:t xml:space="preserve">universe Chapter 9’s AlphaFold2/ESMFold training sets drew on.</w:t>
      </w:r>
    </w:p>
    <w:p>
      <w:pPr>
        <w:pStyle w:val="BodyText"/>
      </w:pPr>
      <w:r>
        <w:t xml:space="preserve">This chapter makes the same kind of honest, disclosed scoping decision</w:t>
      </w:r>
      <w:r>
        <w:t xml:space="preserve"> </w:t>
      </w:r>
      <w:r>
        <w:t xml:space="preserve">Chapter 11 made for DiffDock (§11.2) and Chapter 13 made for its own</w:t>
      </w:r>
      <w:r>
        <w:t xml:space="preserve"> </w:t>
      </w:r>
      <w:r>
        <w:t xml:space="preserve">library size (§13.3): none of FARFAR2, ARES, RoseTTAFoldNA,</w:t>
      </w:r>
      <w:r>
        <w:t xml:space="preserve"> </w:t>
      </w:r>
      <w:r>
        <w:t xml:space="preserve">trRosettaRNA, or DRfold is a lightweight, pip-installable,</w:t>
      </w:r>
      <w:r>
        <w:t xml:space="preserve"> </w:t>
      </w:r>
      <w:r>
        <w:t xml:space="preserve">CPU-tractable tool the way ESMFold’s single forward pass was for</w:t>
      </w:r>
      <w:r>
        <w:t xml:space="preserve"> </w:t>
      </w:r>
      <w:r>
        <w:t xml:space="preserve">proteins in Chapter 9 — each requires either a full Rosetta</w:t>
      </w:r>
      <w:r>
        <w:t xml:space="preserve"> </w:t>
      </w:r>
      <w:r>
        <w:t xml:space="preserve">installation and fragment-library infrastructure, or multi-gigabyte</w:t>
      </w:r>
      <w:r>
        <w:t xml:space="preserve"> </w:t>
      </w:r>
      <w:r>
        <w:t xml:space="preserve">learned-model weights with a recommended GPU runtime, neither of which</w:t>
      </w:r>
      <w:r>
        <w:t xml:space="preserve"> </w:t>
      </w:r>
      <w:r>
        <w:t xml:space="preserve">fits this book’s own free-tier-Colab-compatible, pip-first authoring</w:t>
      </w:r>
      <w:r>
        <w:t xml:space="preserve"> </w:t>
      </w:r>
      <w:r>
        <w:t xml:space="preserve">constraint. Section 14.3’s hands-on project therefore works entirely at</w:t>
      </w:r>
      <w:r>
        <w:t xml:space="preserve"> </w:t>
      </w:r>
      <w:r>
        <w:t xml:space="preserve">the secondary-structure and duplex-thermodynamics level established</w:t>
      </w:r>
      <w:r>
        <w:t xml:space="preserve"> </w:t>
      </w:r>
      <w:r>
        <w:t xml:space="preserve">in Sections 14.1.2-14.1.3, where ViennaRNA provides real, complete,</w:t>
      </w:r>
      <w:r>
        <w:t xml:space="preserve"> </w:t>
      </w:r>
      <w:r>
        <w:t xml:space="preserve">lightweight, exactly-reproducible tools — the same</w:t>
      </w:r>
      <w:r>
        <w:t xml:space="preserve"> </w:t>
      </w:r>
      <w:r>
        <w:t xml:space="preserve">“go where the real,</w:t>
      </w:r>
      <w:r>
        <w:t xml:space="preserve"> </w:t>
      </w:r>
      <w:r>
        <w:t xml:space="preserve">tractable tooling is, and disclose why”</w:t>
      </w:r>
      <w:r>
        <w:t xml:space="preserve"> </w:t>
      </w:r>
      <w:r>
        <w:t xml:space="preserve">principle this book has applied</w:t>
      </w:r>
      <w:r>
        <w:t xml:space="preserve"> </w:t>
      </w:r>
      <w:r>
        <w:t xml:space="preserve">consistently since Chapter 11.</w:t>
      </w:r>
    </w:p>
    <w:bookmarkEnd w:id="12"/>
    <w:bookmarkEnd w:id="13"/>
    <w:bookmarkStart w:id="17" w:name="mrna-sirna-optimization"/>
    <w:p>
      <w:pPr>
        <w:pStyle w:val="Heading2"/>
      </w:pPr>
      <w:r>
        <w:t xml:space="preserve">14.2 mRNA &amp; siRNA Optimization</w:t>
      </w:r>
    </w:p>
    <w:p>
      <w:pPr>
        <w:pStyle w:val="FirstParagraph"/>
      </w:pPr>
      <w:r>
        <w:t xml:space="preserve">A therapeutic RNA sequence is rarely used exactly as first designed</w:t>
      </w:r>
      <w:r>
        <w:t xml:space="preserve"> </w:t>
      </w:r>
      <w:r>
        <w:t xml:space="preserve">against its biological target; it is further optimized along three</w:t>
      </w:r>
      <w:r>
        <w:t xml:space="preserve"> </w:t>
      </w:r>
      <w:r>
        <w:t xml:space="preserve">largely separable real axes — translation/expression (for a coding</w:t>
      </w:r>
      <w:r>
        <w:t xml:space="preserve"> </w:t>
      </w:r>
      <w:r>
        <w:t xml:space="preserve">mRNA), stability, and immunogenicity — each with its own established</w:t>
      </w:r>
      <w:r>
        <w:t xml:space="preserve"> </w:t>
      </w:r>
      <w:r>
        <w:t xml:space="preserve">design principles.</w:t>
      </w:r>
    </w:p>
    <w:bookmarkStart w:id="14" w:name="codon-optimization"/>
    <w:p>
      <w:pPr>
        <w:pStyle w:val="Heading3"/>
      </w:pPr>
      <w:r>
        <w:t xml:space="preserve">14.2.1 Codon optimization</w:t>
      </w:r>
    </w:p>
    <w:p>
      <w:pPr>
        <w:pStyle w:val="FirstParagraph"/>
      </w:pPr>
      <w:r>
        <w:t xml:space="preserve">The genetic code is degenerate: 61 sense codons encode only 20 amino</w:t>
      </w:r>
      <w:r>
        <w:t xml:space="preserve"> </w:t>
      </w:r>
      <w:r>
        <w:t xml:space="preserve">acids, so a coding sequence for a fixed protein has enormous real</w:t>
      </w:r>
      <w:r>
        <w:t xml:space="preserve"> </w:t>
      </w:r>
      <w:r>
        <w:t xml:space="preserve">sequence freedom at the nucleotide level, with no effect on the</w:t>
      </w:r>
      <w:r>
        <w:t xml:space="preserve"> </w:t>
      </w:r>
      <w:r>
        <w:t xml:space="preserve">translated protein sequence itself.</w:t>
      </w:r>
      <w:r>
        <w:t xml:space="preserve"> </w:t>
      </w:r>
      <w:r>
        <w:rPr>
          <w:b/>
          <w:bCs/>
        </w:rPr>
        <w:t xml:space="preserve">Codon optimization</w:t>
      </w:r>
      <w:r>
        <w:t xml:space="preserve"> </w:t>
      </w:r>
      <w:r>
        <w:t xml:space="preserve">exploits</w:t>
      </w:r>
      <w:r>
        <w:t xml:space="preserve"> </w:t>
      </w:r>
      <w:r>
        <w:t xml:space="preserve">that freedom, but not merely by maximizing the frequency-weighted</w:t>
      </w:r>
      <w:r>
        <w:t xml:space="preserve"> </w:t>
      </w:r>
      <w:r>
        <w:t xml:space="preserve">“codon adaptation index”</w:t>
      </w:r>
      <w:r>
        <w:t xml:space="preserve"> </w:t>
      </w:r>
      <w:r>
        <w:t xml:space="preserve">(CAI) against a host organism’s own codon</w:t>
      </w:r>
      <w:r>
        <w:t xml:space="preserve"> </w:t>
      </w:r>
      <w:r>
        <w:t xml:space="preserve">usage table, as older heuristics did — Presnyak et al. (2015)</w:t>
      </w:r>
      <w:r>
        <w:t xml:space="preserve"> </w:t>
      </w:r>
      <w:r>
        <w:t xml:space="preserve">established a real, mechanistic reason codon choice matters beyond</w:t>
      </w:r>
      <w:r>
        <w:t xml:space="preserve"> </w:t>
      </w:r>
      <w:r>
        <w:t xml:space="preserve">translation speed alone: codon optimality is a major, direct</w:t>
      </w:r>
      <w:r>
        <w:t xml:space="preserve"> </w:t>
      </w:r>
      <w:r>
        <w:t xml:space="preserve">determinant of</w:t>
      </w:r>
      <w:r>
        <w:t xml:space="preserve"> </w:t>
      </w:r>
      <w:r>
        <w:rPr>
          <w:b/>
          <w:bCs/>
        </w:rPr>
        <w:t xml:space="preserve">mRNA stability</w:t>
      </w:r>
      <w:r>
        <w:t xml:space="preserve"> </w:t>
      </w:r>
      <w:r>
        <w:t xml:space="preserve">itself, because slower-translating</w:t>
      </w:r>
      <w:r>
        <w:t xml:space="preserve"> </w:t>
      </w:r>
      <w:r>
        <w:t xml:space="preserve">(non-optimal) codons trigger co-translational recruitment of the</w:t>
      </w:r>
      <w:r>
        <w:t xml:space="preserve"> </w:t>
      </w:r>
      <w:r>
        <w:t xml:space="preserve">Ccr4-Not deadenylation complex, coupling translation elongation rate</w:t>
      </w:r>
      <w:r>
        <w:t xml:space="preserve"> </w:t>
      </w:r>
      <w:r>
        <w:t xml:space="preserve">directly to mRNA decay. A therapeutic mRNA’s codon choice therefore</w:t>
      </w:r>
      <w:r>
        <w:t xml:space="preserve"> </w:t>
      </w:r>
      <w:r>
        <w:t xml:space="preserve">trades off translation efficiency, mRNA half-life, and (Section</w:t>
      </w:r>
      <w:r>
        <w:t xml:space="preserve"> </w:t>
      </w:r>
      <w:r>
        <w:t xml:space="preserve">14.1.2) the resulting sequence’s own secondary-structure content, since</w:t>
      </w:r>
      <w:r>
        <w:t xml:space="preserve"> </w:t>
      </w:r>
      <w:r>
        <w:t xml:space="preserve">synonymous codon substitutions change local base-pairing potential even</w:t>
      </w:r>
      <w:r>
        <w:t xml:space="preserve"> </w:t>
      </w:r>
      <w:r>
        <w:t xml:space="preserve">though they don’t change the protein.</w:t>
      </w:r>
    </w:p>
    <w:p>
      <w:pPr>
        <w:pStyle w:val="BodyText"/>
      </w:pPr>
      <w:r>
        <w:rPr>
          <w:b/>
          <w:bCs/>
        </w:rPr>
        <w:t xml:space="preserve">LinearDesign</w:t>
      </w:r>
      <w:r>
        <w:t xml:space="preserve"> </w:t>
      </w:r>
      <w:r>
        <w:t xml:space="preserve">(Zhang et al., 2023) is a real, published algorithm</w:t>
      </w:r>
      <w:r>
        <w:t xml:space="preserve"> </w:t>
      </w:r>
      <w:r>
        <w:t xml:space="preserve">that optimizes exactly this joint trade-off directly and efficiently:</w:t>
      </w:r>
      <w:r>
        <w:t xml:space="preserve"> </w:t>
      </w:r>
      <w:r>
        <w:t xml:space="preserve">rather than optimizing codon choice and mRNA secondary structure as two</w:t>
      </w:r>
      <w:r>
        <w:t xml:space="preserve"> </w:t>
      </w:r>
      <w:r>
        <w:t xml:space="preserve">separate steps, it formulates a single joint objective balancing</w:t>
      </w:r>
      <w:r>
        <w:t xml:space="preserve"> </w:t>
      </w:r>
      <w:r>
        <w:t xml:space="preserve">translation efficiency (via CAI) against real, ViennaRNA-style</w:t>
      </w:r>
      <w:r>
        <w:t xml:space="preserve"> </w:t>
      </w:r>
      <w:r>
        <w:t xml:space="preserve">minimum free energy (lower — i.e., more negative and more structured —</w:t>
      </w:r>
      <w:r>
        <w:t xml:space="preserve"> </w:t>
      </w:r>
      <w:r>
        <w:t xml:space="preserve">being generally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desirable for coding-sequence stability and</w:t>
      </w:r>
      <w:r>
        <w:t xml:space="preserve"> </w:t>
      </w:r>
      <w:r>
        <w:t xml:space="preserve">translation, the same</w:t>
      </w:r>
      <w:r>
        <w:t xml:space="preserve"> </w:t>
      </w:r>
      <w:r>
        <w:t xml:space="preserve">“less intramolecular structure is generally more</w:t>
      </w:r>
      <w:r>
        <w:t xml:space="preserve"> </w:t>
      </w:r>
      <w:r>
        <w:t xml:space="preserve">favorable”</w:t>
      </w:r>
      <w:r>
        <w:t xml:space="preserve"> </w:t>
      </w:r>
      <w:r>
        <w:t xml:space="preserve">direction Section 14.1.2’s discussion already established</w:t>
      </w:r>
      <w:r>
        <w:t xml:space="preserve"> </w:t>
      </w:r>
      <w:r>
        <w:t xml:space="preserve">for a guide strand’s own self-structure), and solves it with a real,</w:t>
      </w:r>
      <w:r>
        <w:t xml:space="preserve"> </w:t>
      </w:r>
      <w:r>
        <w:t xml:space="preserve">polynomial-time lattice-parsing algorithm rather than a naive</w:t>
      </w:r>
      <w:r>
        <w:t xml:space="preserve"> </w:t>
      </w:r>
      <w:r>
        <w:t xml:space="preserve">exponential search over the codon space. The paper reports this</w:t>
      </w:r>
      <w:r>
        <w:t xml:space="preserve"> </w:t>
      </w:r>
      <w:r>
        <w:t xml:space="preserve">approach applied directly to real SARS-CoV-2 spike-protein mRNA vaccine</w:t>
      </w:r>
      <w:r>
        <w:t xml:space="preserve"> </w:t>
      </w:r>
      <w:r>
        <w:t xml:space="preserve">design, reducing predicted mRNA structuredness and improving measured</w:t>
      </w:r>
      <w:r>
        <w:t xml:space="preserve"> </w:t>
      </w:r>
      <w:r>
        <w:t xml:space="preserve">stability and expression relative to unoptimized or CAI-only-optimized</w:t>
      </w:r>
      <w:r>
        <w:t xml:space="preserve"> </w:t>
      </w:r>
      <w:r>
        <w:t xml:space="preserve">sequences — a real, deployed-scale demonstration that the</w:t>
      </w:r>
      <w:r>
        <w:t xml:space="preserve"> </w:t>
      </w:r>
      <w:r>
        <w:t xml:space="preserve">thermodynamic tools of Section 14.1 are not confined to siRNA design.</w:t>
      </w:r>
    </w:p>
    <w:bookmarkEnd w:id="14"/>
    <w:bookmarkStart w:id="15" w:name="stability-enhancement"/>
    <w:p>
      <w:pPr>
        <w:pStyle w:val="Heading3"/>
      </w:pPr>
      <w:r>
        <w:t xml:space="preserve">14.2.2 Stability enhancement</w:t>
      </w:r>
    </w:p>
    <w:p>
      <w:pPr>
        <w:pStyle w:val="FirstParagraph"/>
      </w:pPr>
      <w:r>
        <w:t xml:space="preserve">Beyond coding-sequence codon choice, an mRNA’s stability and</w:t>
      </w:r>
      <w:r>
        <w:t xml:space="preserve"> </w:t>
      </w:r>
      <w:r>
        <w:t xml:space="preserve">translation efficiency depend heavily on its untranslated regions</w:t>
      </w:r>
      <w:r>
        <w:t xml:space="preserve"> </w:t>
      </w:r>
      <w:r>
        <w:t xml:space="preserve">(UTRs), 5’ cap, and poly(A) tail — and, again, on secondary structure,</w:t>
      </w:r>
      <w:r>
        <w:t xml:space="preserve"> </w:t>
      </w:r>
      <w:r>
        <w:t xml:space="preserve">now considered across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transcript rather than just the</w:t>
      </w:r>
      <w:r>
        <w:t xml:space="preserve"> </w:t>
      </w:r>
      <w:r>
        <w:t xml:space="preserve">coding sequence. Leppek et al. (2022) ran a real, large-scale</w:t>
      </w:r>
      <w:r>
        <w:t xml:space="preserve"> </w:t>
      </w:r>
      <w:r>
        <w:t xml:space="preserve">crowdsourced RNA design challenge (Eterna’s</w:t>
      </w:r>
      <w:r>
        <w:t xml:space="preserve"> </w:t>
      </w:r>
      <w:r>
        <w:t xml:space="preserve">“OpenVaccine”</w:t>
      </w:r>
      <w:r>
        <w:t xml:space="preserve"> </w:t>
      </w:r>
      <w:r>
        <w:t xml:space="preserve">project) that</w:t>
      </w:r>
      <w:r>
        <w:t xml:space="preserve"> </w:t>
      </w:r>
      <w:r>
        <w:t xml:space="preserve">directly, empirically tested this relationship at scale: real,</w:t>
      </w:r>
      <w:r>
        <w:t xml:space="preserve"> </w:t>
      </w:r>
      <w:r>
        <w:t xml:space="preserve">measured in-solution stability across thousands of real,</w:t>
      </w:r>
      <w:r>
        <w:t xml:space="preserve"> </w:t>
      </w:r>
      <w:r>
        <w:t xml:space="preserve">synthesized mRNA constructs correlated strongly with real,</w:t>
      </w:r>
      <w:r>
        <w:t xml:space="preserve"> </w:t>
      </w:r>
      <w:r>
        <w:t xml:space="preserve">computed secondary-structure metrics, with unstructured 5’ regions in</w:t>
      </w:r>
      <w:r>
        <w:t xml:space="preserve"> </w:t>
      </w:r>
      <w:r>
        <w:t xml:space="preserve">particular associated with both higher stability and higher</w:t>
      </w:r>
      <w:r>
        <w:t xml:space="preserve"> </w:t>
      </w:r>
      <w:r>
        <w:t xml:space="preserve">translation — the same accessibility logic Section 14.1.3 introduced</w:t>
      </w:r>
      <w:r>
        <w:t xml:space="preserve"> </w:t>
      </w:r>
      <w:r>
        <w:t xml:space="preserve">for a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site applies, in a different but related sense, to a</w:t>
      </w:r>
      <w:r>
        <w:t xml:space="preserve"> </w:t>
      </w:r>
      <w:r>
        <w:t xml:space="preserve">therapeutic mRNA’s own 5’ UTR as the site ribosomal scanning must</w:t>
      </w:r>
      <w:r>
        <w:t xml:space="preserve"> </w:t>
      </w:r>
      <w:r>
        <w:t xml:space="preserve">traverse. This is a second, independent, real line of evidence</w:t>
      </w:r>
      <w:r>
        <w:t xml:space="preserve"> </w:t>
      </w:r>
      <w:r>
        <w:t xml:space="preserve">(alongside LinearDesign) that the exact real ViennaRNA-computable</w:t>
      </w:r>
      <w:r>
        <w:t xml:space="preserve"> </w:t>
      </w:r>
      <w:r>
        <w:t xml:space="preserve">quantities Section 14.1 introduces — MFE, base-pair probability,</w:t>
      </w:r>
      <w:r>
        <w:t xml:space="preserve"> </w:t>
      </w:r>
      <w:r>
        <w:t xml:space="preserve">local structuredness — are not an academic exercise but a load-bearing</w:t>
      </w:r>
      <w:r>
        <w:t xml:space="preserve"> </w:t>
      </w:r>
      <w:r>
        <w:t xml:space="preserve">part of how real, deployed RNA therapeutics are actually designed.</w:t>
      </w:r>
    </w:p>
    <w:bookmarkEnd w:id="15"/>
    <w:bookmarkStart w:id="16" w:name="immunogenicity-reduction"/>
    <w:p>
      <w:pPr>
        <w:pStyle w:val="Heading3"/>
      </w:pPr>
      <w:r>
        <w:t xml:space="preserve">14.2.3 Immunogenicity reduction</w:t>
      </w:r>
    </w:p>
    <w:p>
      <w:pPr>
        <w:pStyle w:val="FirstParagraph"/>
      </w:pPr>
      <w:r>
        <w:t xml:space="preserve">Exogenous RNA delivered into a human cell is not immunologically</w:t>
      </w:r>
      <w:r>
        <w:t xml:space="preserve"> </w:t>
      </w:r>
      <w:r>
        <w:t xml:space="preserve">inert: pattern-recognition receptors — endosomal Toll-like receptors</w:t>
      </w:r>
      <w:r>
        <w:t xml:space="preserve"> </w:t>
      </w:r>
      <w:r>
        <w:t xml:space="preserve">TLR3, TLR7, and TLR8, and cytoplasmic sensors including RIG-I — evolved</w:t>
      </w:r>
      <w:r>
        <w:t xml:space="preserve"> </w:t>
      </w:r>
      <w:r>
        <w:t xml:space="preserve">specifically to detect foreign RNA and trigger a real, potent innate</w:t>
      </w:r>
      <w:r>
        <w:t xml:space="preserve"> </w:t>
      </w:r>
      <w:r>
        <w:t xml:space="preserve">immune (type I interferon) response, which for a therapeutic mRNA or</w:t>
      </w:r>
      <w:r>
        <w:t xml:space="preserve"> </w:t>
      </w:r>
      <w:r>
        <w:t xml:space="preserve">siRNA is an unwanted side effect rather than the intended mechanism.</w:t>
      </w:r>
      <w:r>
        <w:t xml:space="preserve"> </w:t>
      </w:r>
      <w:r>
        <w:t xml:space="preserve">Karikó, Buckstein, Ni, &amp; Weissman (2005) established the real,</w:t>
      </w:r>
      <w:r>
        <w:t xml:space="preserve"> </w:t>
      </w:r>
      <w:r>
        <w:t xml:space="preserve">foundational finding that this recognition is suppressed by naturally</w:t>
      </w:r>
      <w:r>
        <w:t xml:space="preserve"> </w:t>
      </w:r>
      <w:r>
        <w:t xml:space="preserve">occurring nucleoside modifications: RNA synthesized with</w:t>
      </w:r>
      <w:r>
        <w:t xml:space="preserve"> </w:t>
      </w:r>
      <w:r>
        <w:rPr>
          <w:b/>
          <w:bCs/>
        </w:rPr>
        <w:t xml:space="preserve">pseudouridine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N1-methylpseudouridine</w:t>
      </w:r>
      <w:r>
        <w:t xml:space="preserve"> </w:t>
      </w:r>
      <w:r>
        <w:t xml:space="preserve">in place of standard</w:t>
      </w:r>
      <w:r>
        <w:t xml:space="preserve"> </w:t>
      </w:r>
      <w:r>
        <w:t xml:space="preserve">uridine is dramatically less immunostimulatory via TLR3/7/8 while</w:t>
      </w:r>
      <w:r>
        <w:t xml:space="preserve"> </w:t>
      </w:r>
      <w:r>
        <w:t xml:space="preserve">remaining translatable — the specific real chemical modification that</w:t>
      </w:r>
      <w:r>
        <w:t xml:space="preserve"> </w:t>
      </w:r>
      <w:r>
        <w:t xml:space="preserve">underlies the mRNA vaccine platforms subsequently deployed at global</w:t>
      </w:r>
      <w:r>
        <w:t xml:space="preserve"> </w:t>
      </w:r>
      <w:r>
        <w:t xml:space="preserve">scale, work recognized by the 2023 Nobel Prize in Physiology or</w:t>
      </w:r>
      <w:r>
        <w:t xml:space="preserve"> </w:t>
      </w:r>
      <w:r>
        <w:t xml:space="preserve">Medicine. siRNA therapeutics address the analogous problem with a</w:t>
      </w:r>
      <w:r>
        <w:t xml:space="preserve"> </w:t>
      </w:r>
      <w:r>
        <w:t xml:space="preserve">different, complementary set of real, established chemistries:</w:t>
      </w:r>
      <w:r>
        <w:t xml:space="preserve"> </w:t>
      </w:r>
      <w:r>
        <w:t xml:space="preserve">2’-O-methyl and 2’-fluoro ribose modifications and phosphorothioate</w:t>
      </w:r>
      <w:r>
        <w:t xml:space="preserve"> </w:t>
      </w:r>
      <w:r>
        <w:t xml:space="preserve">backbone linkages, which simultaneously reduce innate-immune</w:t>
      </w:r>
      <w:r>
        <w:t xml:space="preserve"> </w:t>
      </w:r>
      <w:r>
        <w:t xml:space="preserve">recognition and increase nuclease resistance. Delivery is a separate,</w:t>
      </w:r>
      <w:r>
        <w:t xml:space="preserve"> </w:t>
      </w:r>
      <w:r>
        <w:t xml:space="preserve">real design axis on top of that chemistry: patisiran, the first</w:t>
      </w:r>
      <w:r>
        <w:t xml:space="preserve"> </w:t>
      </w:r>
      <w:r>
        <w:t xml:space="preserve">FDA-approved siRNA drug, uses a lipid-nanoparticle carrier, while the</w:t>
      </w:r>
      <w:r>
        <w:t xml:space="preserve"> </w:t>
      </w:r>
      <w:r>
        <w:t xml:space="preserve">liver-targeted siRNA drugs approved since (givosiran, lumasiran,</w:t>
      </w:r>
      <w:r>
        <w:t xml:space="preserve"> </w:t>
      </w:r>
      <w:r>
        <w:t xml:space="preserve">inclisiran) instead conjugate the siRNA directly to</w:t>
      </w:r>
      <w:r>
        <w:t xml:space="preserve"> </w:t>
      </w:r>
      <w:r>
        <w:t xml:space="preserve">N-acetylgalactosamine (GalNAc) for receptor-mediated hepatocyte</w:t>
      </w:r>
      <w:r>
        <w:t xml:space="preserve"> </w:t>
      </w:r>
      <w:r>
        <w:t xml:space="preserve">uptake. None of these delivery/chemistry questions is addressed</w:t>
      </w:r>
      <w:r>
        <w:t xml:space="preserve"> </w:t>
      </w:r>
      <w:r>
        <w:t xml:space="preserve">computationally in Section 14.3’s hands-on project, which — like</w:t>
      </w:r>
      <w:r>
        <w:t xml:space="preserve"> </w:t>
      </w:r>
      <w:r>
        <w:t xml:space="preserve">Chapter 11’s docking-only scope or Chapter 12’s ligand-alone MD scope —</w:t>
      </w:r>
      <w:r>
        <w:t xml:space="preserve"> </w:t>
      </w:r>
      <w:r>
        <w:t xml:space="preserve">targets one real, well-defined, computationally tractable sub-problem</w:t>
      </w:r>
      <w:r>
        <w:t xml:space="preserve"> </w:t>
      </w:r>
      <w:r>
        <w:t xml:space="preserve">(sequence-level knockdown efficacy) rather than the full therapeutic</w:t>
      </w:r>
      <w:r>
        <w:t xml:space="preserve"> </w:t>
      </w:r>
      <w:r>
        <w:t xml:space="preserve">design pipeline.</w:t>
      </w:r>
    </w:p>
    <w:bookmarkEnd w:id="16"/>
    <w:bookmarkEnd w:id="17"/>
    <w:bookmarkStart w:id="22" w:name="X6ba8d1e4f6b4f09204de1b712bc8338f1a64c79"/>
    <w:p>
      <w:pPr>
        <w:pStyle w:val="Heading2"/>
      </w:pPr>
      <w:r>
        <w:t xml:space="preserve">14.3 Hands-on Project: Predicting siRNA Knockdown Efficacy from Real RNAi Data and Real RNA Thermodynamics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ch14_rna_therapeutics/</w:t>
      </w:r>
      <w:r>
        <w:t xml:space="preserve">). Given Section 14.1’s toolbox and Section</w:t>
      </w:r>
      <w:r>
        <w:t xml:space="preserve"> </w:t>
      </w:r>
      <w:r>
        <w:t xml:space="preserve">14.2’s design principles, this project builds a real, complete siRNA</w:t>
      </w:r>
      <w:r>
        <w:t xml:space="preserve"> </w:t>
      </w:r>
      <w:r>
        <w:t xml:space="preserve">efficacy predictor: real measured silencing data in, real</w:t>
      </w:r>
      <w:r>
        <w:t xml:space="preserve"> </w:t>
      </w:r>
      <w:r>
        <w:t xml:space="preserve">self-computed thermodynamic and sequence features, real trained</w:t>
      </w:r>
      <w:r>
        <w:t xml:space="preserve"> </w:t>
      </w:r>
      <w:r>
        <w:t xml:space="preserve">models, real held-out evaluation.</w:t>
      </w:r>
    </w:p>
    <w:bookmarkStart w:id="18" w:name="Xd5785515e00e44dfea9e0c7bdb1dd1e60af4d23"/>
    <w:p>
      <w:pPr>
        <w:pStyle w:val="Heading3"/>
      </w:pPr>
      <w:r>
        <w:t xml:space="preserve">Real data and its provenance, disclosed in full</w:t>
      </w:r>
    </w:p>
    <w:p>
      <w:pPr>
        <w:pStyle w:val="FirstParagraph"/>
      </w:pPr>
      <w:r>
        <w:rPr>
          <w:b/>
          <w:bCs/>
        </w:rPr>
        <w:t xml:space="preserve">The data.</w:t>
      </w:r>
      <w:r>
        <w:t xml:space="preserve"> </w:t>
      </w:r>
      <w:r>
        <w:t xml:space="preserve">Huesken et al. (2005) profiled 19-mer siRNAs against a</w:t>
      </w:r>
      <w:r>
        <w:t xml:space="preserve"> </w:t>
      </w:r>
      <w:r>
        <w:t xml:space="preserve">dual-luciferase reporter system in H1299 cells — the field’s original</w:t>
      </w:r>
      <w:r>
        <w:t xml:space="preserve"> </w:t>
      </w:r>
      <w:r>
        <w:t xml:space="preserve">large-scale siRNA efficacy dataset, and still the most widely used</w:t>
      </w:r>
      <w:r>
        <w:t xml:space="preserve"> </w:t>
      </w:r>
      <w:r>
        <w:t xml:space="preserve">benchmark for this exact task two decades later (every rule-based and</w:t>
      </w:r>
      <w:r>
        <w:t xml:space="preserve"> </w:t>
      </w:r>
      <w:r>
        <w:t xml:space="preserve">learned siRNA design tool published since, including this chapter’s</w:t>
      </w:r>
      <w:r>
        <w:t xml:space="preserve"> </w:t>
      </w:r>
      <w:r>
        <w:t xml:space="preserve">own, is implicitly or explicitly compared against it). The paper’s own</w:t>
      </w:r>
      <w:r>
        <w:t xml:space="preserve"> </w:t>
      </w:r>
      <w:r>
        <w:t xml:space="preserve">original data hosting — Novartis’ BIOPREDsi web server — is no longer</w:t>
      </w:r>
      <w:r>
        <w:t xml:space="preserve"> </w:t>
      </w:r>
      <w:r>
        <w:t xml:space="preserve">online, a real, disclosed constraint this chapter shares with several</w:t>
      </w:r>
      <w:r>
        <w:t xml:space="preserve"> </w:t>
      </w:r>
      <w:r>
        <w:t xml:space="preserve">of Chapter 13’s own real 20-year-old fragment-screening data-access</w:t>
      </w:r>
      <w:r>
        <w:t xml:space="preserve"> </w:t>
      </w:r>
      <w:r>
        <w:t xml:space="preserve">questions.</w:t>
      </w:r>
      <w:r>
        <w:t xml:space="preserve"> </w:t>
      </w:r>
      <w:r>
        <w:rPr>
          <w:rStyle w:val="VerbatimChar"/>
        </w:rPr>
        <w:t xml:space="preserve">sirna_efficacy.py</w:t>
      </w:r>
      <w:r>
        <w:t xml:space="preserve"> </w:t>
      </w:r>
      <w:r>
        <w:t xml:space="preserve">fetches the real sequences and real</w:t>
      </w:r>
      <w:r>
        <w:t xml:space="preserve"> </w:t>
      </w:r>
      <w:r>
        <w:t xml:space="preserve">measured efficiency values live from</w:t>
      </w:r>
      <w:r>
        <w:t xml:space="preserve"> </w:t>
      </w:r>
      <w:r>
        <w:rPr>
          <w:rStyle w:val="VerbatimChar"/>
        </w:rPr>
        <w:t xml:space="preserve">github.com/dimostzim/siRBench</w:t>
      </w:r>
      <w:r>
        <w:t xml:space="preserve">,</w:t>
      </w:r>
      <w:r>
        <w:t xml:space="preserve"> </w:t>
      </w:r>
      <w:r>
        <w:t xml:space="preserve">a small, actively maintained (as of this chapter’s writing) community</w:t>
      </w:r>
      <w:r>
        <w:t xml:space="preserve"> </w:t>
      </w:r>
      <w:r>
        <w:t xml:space="preserve">redistribution assembled specifically because the original hosting</w:t>
      </w:r>
      <w:r>
        <w:t xml:space="preserve"> </w:t>
      </w:r>
      <w:r>
        <w:t xml:space="preserve">disappeared; it carries no explicit open-source license. This chapter</w:t>
      </w:r>
      <w:r>
        <w:t xml:space="preserve"> </w:t>
      </w:r>
      <w:r>
        <w:t xml:space="preserve">handles that honestly and conservatively rather than ignoring it:</w:t>
      </w:r>
      <w:r>
        <w:t xml:space="preserve"> </w:t>
      </w:r>
      <w:r>
        <w:rPr>
          <w:b/>
          <w:bCs/>
        </w:rPr>
        <w:t xml:space="preserve">only four raw, factual fields</w:t>
      </w:r>
      <w:r>
        <w:t xml:space="preserve"> </w:t>
      </w:r>
      <w:r>
        <w:t xml:space="preserve">are taken from that source — the</w:t>
      </w:r>
      <w:r>
        <w:t xml:space="preserve"> </w:t>
      </w:r>
      <w:r>
        <w:t xml:space="preserve">19-nt siRNA sequence, its 57-nt local target-mRNA context, the real</w:t>
      </w:r>
      <w:r>
        <w:t xml:space="preserve"> </w:t>
      </w:r>
      <w:r>
        <w:t xml:space="preserve">measured efficiency value, and the source-study tag used to filter to</w:t>
      </w:r>
      <w:r>
        <w:t xml:space="preserve"> </w:t>
      </w:r>
      <w:r>
        <w:t xml:space="preserve">the real Huesken-only subset (2,133 train + 228 test sequences, curated</w:t>
      </w:r>
      <w:r>
        <w:t xml:space="preserve"> </w:t>
      </w:r>
      <w:r>
        <w:t xml:space="preserve">to zero sequence overlap between the two splits) — individual published</w:t>
      </w:r>
      <w:r>
        <w:t xml:space="preserve"> </w:t>
      </w:r>
      <w:r>
        <w:t xml:space="preserve">scientific facts (a sequence, a number), not the redistribution’s own</w:t>
      </w:r>
      <w:r>
        <w:t xml:space="preserve"> </w:t>
      </w:r>
      <w:r>
        <w:t xml:space="preserve">compiled/engineered feature columns, none of which this chapter reuses.</w:t>
      </w:r>
      <w:r>
        <w:t xml:space="preserve"> </w:t>
      </w:r>
      <w:r>
        <w:t xml:space="preserve">Every feature this chapter’s own model trains on (below) is computed</w:t>
      </w:r>
      <w:r>
        <w:t xml:space="preserve"> </w:t>
      </w:r>
      <w:r>
        <w:t xml:space="preserve">fresh, by this chapter’s own code, from those four raw fields, via</w:t>
      </w:r>
      <w:r>
        <w:t xml:space="preserve"> </w:t>
      </w:r>
      <w:r>
        <w:t xml:space="preserve">ViennaRNA’s real thermodynamic engine.</w:t>
      </w:r>
    </w:p>
    <w:p>
      <w:pPr>
        <w:pStyle w:val="BodyText"/>
      </w:pPr>
      <w:r>
        <w:rPr>
          <w:b/>
          <w:bCs/>
        </w:rPr>
        <w:t xml:space="preserve">A real data-quality check, not assumed.</w:t>
      </w:r>
      <w:r>
        <w:t xml:space="preserve"> </w:t>
      </w:r>
      <w:r>
        <w:rPr>
          <w:rStyle w:val="VerbatimChar"/>
        </w:rPr>
        <w:t xml:space="preserve">curate_huesken_subset()</w:t>
      </w:r>
      <w:r>
        <w:t xml:space="preserve"> </w:t>
      </w:r>
      <w:r>
        <w:t xml:space="preserve">verifies, for every row, that the real 57-nt extended target context</w:t>
      </w:r>
      <w:r>
        <w:t xml:space="preserve"> </w:t>
      </w:r>
      <w:r>
        <w:t xml:space="preserve">actually contains the real 19-nt target site at its documented [19:38]</w:t>
      </w:r>
      <w:r>
        <w:t xml:space="preserve"> </w:t>
      </w:r>
      <w:r>
        <w:t xml:space="preserve">offset before accepting the row — a basic real consistency check</w:t>
      </w:r>
      <w:r>
        <w:t xml:space="preserve"> </w:t>
      </w:r>
      <w:r>
        <w:t xml:space="preserve">against transcription/formatting errors in a third-party redistribution,</w:t>
      </w:r>
      <w:r>
        <w:t xml:space="preserve"> </w:t>
      </w:r>
      <w:r>
        <w:t xml:space="preserve">following the same</w:t>
      </w:r>
      <w:r>
        <w:t xml:space="preserve"> </w:t>
      </w:r>
      <w:r>
        <w:t xml:space="preserve">“verify, don’t trust, a bundled real dataset”</w:t>
      </w:r>
      <w:r>
        <w:t xml:space="preserve"> </w:t>
      </w:r>
      <w:r>
        <w:t xml:space="preserve">discipline Chapter 13’s own replicate-well deduplication bug and fix</w:t>
      </w:r>
      <w:r>
        <w:t xml:space="preserve"> </w:t>
      </w:r>
      <w:r>
        <w:t xml:space="preserve">established (§13.3).</w:t>
      </w:r>
    </w:p>
    <w:bookmarkEnd w:id="18"/>
    <w:bookmarkStart w:id="19" w:name="real-self-computed-features"/>
    <w:p>
      <w:pPr>
        <w:pStyle w:val="Heading3"/>
      </w:pPr>
      <w:r>
        <w:t xml:space="preserve">Real, self-computed features</w:t>
      </w:r>
    </w:p>
    <w:p>
      <w:pPr>
        <w:pStyle w:val="FirstParagraph"/>
      </w:pPr>
      <w:r>
        <w:t xml:space="preserve">Fourteen real features are computed per sequence, none of them</w:t>
      </w:r>
      <w:r>
        <w:t xml:space="preserve"> </w:t>
      </w:r>
      <w:r>
        <w:t xml:space="preserve">label-derived: sequence composition (overall GC content; seed-region</w:t>
      </w:r>
      <w:r>
        <w:t xml:space="preserve"> </w:t>
      </w:r>
      <w:r>
        <w:t xml:space="preserve">[positions 2-8] GC content, the established RNAi</w:t>
      </w:r>
      <w:r>
        <w:t xml:space="preserve"> </w:t>
      </w:r>
      <w:r>
        <w:t xml:space="preserve">“seed”</w:t>
      </w:r>
      <w:r>
        <w:t xml:space="preserve"> </w:t>
      </w:r>
      <w:r>
        <w:t xml:space="preserve">window; 5’/3’</w:t>
      </w:r>
      <w:r>
        <w:t xml:space="preserve"> </w:t>
      </w:r>
      <w:r>
        <w:t xml:space="preserve">terminal base identity; a count of internal repeated 4-mers, Reynolds</w:t>
      </w:r>
      <w:r>
        <w:t xml:space="preserve"> </w:t>
      </w:r>
      <w:r>
        <w:t xml:space="preserve">et al.’s 2004 internal-repeat liability); a compact, four-criterion</w:t>
      </w:r>
      <w:r>
        <w:t xml:space="preserve"> </w:t>
      </w:r>
      <w:r>
        <w:rPr>
          <w:rStyle w:val="VerbatimChar"/>
        </w:rPr>
        <w:t xml:space="preserve">design_heuristic_score</w:t>
      </w:r>
      <w:r>
        <w:t xml:space="preserve"> </w:t>
      </w:r>
      <w:r>
        <w:t xml:space="preserve">— inspired by, but not a literal reproduction</w:t>
      </w:r>
      <w:r>
        <w:t xml:space="preserve"> </w:t>
      </w:r>
      <w:r>
        <w:t xml:space="preserve">of, the qualitative design principles in Reynolds et al. (2004) and</w:t>
      </w:r>
      <w:r>
        <w:t xml:space="preserve"> </w:t>
      </w:r>
      <w:r>
        <w:t xml:space="preserve">Ui-Tei et al. (2004), used here purely as this section’s rule-based</w:t>
      </w:r>
      <w:r>
        <w:t xml:space="preserve"> </w:t>
      </w:r>
      <w:r>
        <w:t xml:space="preserve">baseline; and, from Section 14.1’s own real ViennaRNA machinery, the</w:t>
      </w:r>
      <w:r>
        <w:t xml:space="preserve"> </w:t>
      </w:r>
      <w:r>
        <w:t xml:space="preserve">guide strand’s own self-structure MFE and ensemble diversity, the full</w:t>
      </w:r>
      <w:r>
        <w:t xml:space="preserve"> </w:t>
      </w:r>
      <w:r>
        <w:t xml:space="preserve">siRNA-target duplex hybridization energy and its 5’-end-vs-3’-end</w:t>
      </w:r>
      <w:r>
        <w:t xml:space="preserve"> </w:t>
      </w:r>
      <w:r>
        <w:t xml:space="preserve">terminal-stability asymmetry (</w:t>
      </w:r>
      <w:r>
        <w:rPr>
          <w:rStyle w:val="VerbatimChar"/>
        </w:rPr>
        <w:t xml:space="preserve">RNA.duplexfold</w:t>
      </w:r>
      <w:r>
        <w:t xml:space="preserve">, the real, established</w:t>
      </w:r>
      <w:r>
        <w:t xml:space="preserve"> </w:t>
      </w:r>
      <w:r>
        <w:t xml:space="preserve">biophysical basis of RISC strand-selection bias; Khvorova, Reynolds, &amp;</w:t>
      </w:r>
      <w:r>
        <w:t xml:space="preserve"> </w:t>
      </w:r>
      <w:r>
        <w:t xml:space="preserve">Jayasena, 2003; Schwarz et al., 2003), and the target site’s own real</w:t>
      </w:r>
      <w:r>
        <w:t xml:space="preserve"> </w:t>
      </w:r>
      <w:r>
        <w:t xml:space="preserve">accessibility (unconstrained MFE and opening energy, Section 14.1.3).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duplex_features(sirna: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target_site: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RNA.duplexfold(sirna, target_site)</w:t>
      </w:r>
      <w:r>
        <w:br/>
      </w:r>
      <w:r>
        <w:rPr>
          <w:rStyle w:val="NormalTok"/>
        </w:rPr>
        <w:t xml:space="preserve">    five_prime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RNA.duplexfold(sirna[: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target_site[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three_prime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RNA.duplexfold(sirna[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:], target_site[: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"duplex_energy_total"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(full.energy,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"duplex_energy_5p_end"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(five_prime.energy,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"duplex_energy_3p_end"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(three_prime.energy,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"duplex_end_asymmetry"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(five_prime.energy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three_prime.energy,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</w:p>
    <w:bookmarkEnd w:id="19"/>
    <w:bookmarkStart w:id="20" w:name="real-models-and-real-held-out-evaluation"/>
    <w:p>
      <w:pPr>
        <w:pStyle w:val="Heading3"/>
      </w:pPr>
      <w:r>
        <w:t xml:space="preserve">Real models and real, held-out evaluation</w:t>
      </w:r>
    </w:p>
    <w:p>
      <w:pPr>
        <w:pStyle w:val="FirstParagraph"/>
      </w:pPr>
      <w:r>
        <w:t xml:space="preserve">Four real predictors are trained on the real 2,133-sequence training</w:t>
      </w:r>
      <w:r>
        <w:t xml:space="preserve"> </w:t>
      </w:r>
      <w:r>
        <w:t xml:space="preserve">split and evaluated, once, on siRBench’s own real, pre-defined,</w:t>
      </w:r>
      <w:r>
        <w:t xml:space="preserve"> </w:t>
      </w:r>
      <w:r>
        <w:t xml:space="preserve">sequence-disjoint 228-sequence Huesken test split: the rule-based</w:t>
      </w:r>
      <w:r>
        <w:t xml:space="preserve"> </w:t>
      </w:r>
      <w:r>
        <w:rPr>
          <w:rStyle w:val="VerbatimChar"/>
        </w:rPr>
        <w:t xml:space="preserve">design_heuristic_score</w:t>
      </w:r>
      <w:r>
        <w:t xml:space="preserve"> </w:t>
      </w:r>
      <w:r>
        <w:t xml:space="preserve">alone; a Random Forest (500 trees); an</w:t>
      </w:r>
      <w:r>
        <w:t xml:space="preserve"> </w:t>
      </w:r>
      <w:r>
        <w:t xml:space="preserve">XGBoost gradient-boosted model; and a small PyTorch MLP</w:t>
      </w:r>
      <w:r>
        <w:t xml:space="preserve"> </w:t>
      </w:r>
      <w:r>
        <w:t xml:space="preserve">(19→64→32→1, matching the same modeling family — a feed-forward neural</w:t>
      </w:r>
      <w:r>
        <w:t xml:space="preserve"> </w:t>
      </w:r>
      <w:r>
        <w:t xml:space="preserve">network — Huesken et al. themselves used, on this chapter’s own,</w:t>
      </w:r>
      <w:r>
        <w:t xml:space="preserve"> </w:t>
      </w:r>
      <w:r>
        <w:t xml:space="preserve">fully disclosed feature set rather than their original proprietary</w:t>
      </w:r>
      <w:r>
        <w:t xml:space="preserve"> </w:t>
      </w:r>
      <w:r>
        <w:t xml:space="preserve">one), with early stopping on a 15% real validation split carved from</w:t>
      </w:r>
      <w:r>
        <w:t xml:space="preserve"> </w:t>
      </w:r>
      <w:r>
        <w:t xml:space="preserve">the training data only, never touching the test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 score alone</w:t>
            </w:r>
          </w:p>
        </w:tc>
        <w:tc>
          <w:tcPr/>
          <w:p>
            <w:pPr>
              <w:pStyle w:val="Compact"/>
            </w:pPr>
            <w:r>
              <w:t xml:space="preserve">0.267 (p = 4.5×10⁻⁵)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0.583</w:t>
            </w:r>
            <w:r>
              <w:t xml:space="preserve"> </w:t>
            </w:r>
            <w:r>
              <w:t xml:space="preserve">(p &lt; 10⁻⁶)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0.573 (p &lt; 10⁻⁶)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MLP</w:t>
            </w:r>
          </w:p>
        </w:tc>
        <w:tc>
          <w:tcPr/>
          <w:p>
            <w:pPr>
              <w:pStyle w:val="Compact"/>
            </w:pPr>
            <w:r>
              <w:t xml:space="preserve">0.543 (p &lt; 10⁻⁶)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</w:tr>
    </w:tbl>
    <w:p>
      <w:pPr>
        <w:pStyle w:val="BodyText"/>
      </w:pPr>
      <w:r>
        <w:t xml:space="preserve">(R²/RMSE/MAE are omitted for the rule-based score: it is a bounded,</w:t>
      </w:r>
      <w:r>
        <w:t xml:space="preserve"> </w:t>
      </w:r>
      <w:r>
        <w:t xml:space="preserve">0-4 integer count, not a value calibrated to the real efficiency</w:t>
      </w:r>
      <w:r>
        <w:t xml:space="preserve"> </w:t>
      </w:r>
      <w:r>
        <w:t xml:space="preserve">scale, so those absolute-error metrics are not meaningful for it —</w:t>
      </w:r>
      <w:r>
        <w:t xml:space="preserve"> </w:t>
      </w:r>
      <w:r>
        <w:t xml:space="preserve">Spearman/Pearson rank/linear correlation are the real, comparable</w:t>
      </w:r>
      <w:r>
        <w:t xml:space="preserve"> </w:t>
      </w:r>
      <w:r>
        <w:t xml:space="preserve">quantities across all four rows.)</w:t>
      </w:r>
    </w:p>
    <w:p>
      <w:pPr>
        <w:pStyle w:val="BodyText"/>
      </w:pPr>
      <w:r>
        <w:rPr>
          <w:b/>
          <w:bCs/>
        </w:rPr>
        <w:t xml:space="preserve">Reading the real result.</w:t>
      </w:r>
      <w:r>
        <w:t xml:space="preserve"> </w:t>
      </w:r>
      <w:r>
        <w:t xml:space="preserve">All three learned models comfortably and</w:t>
      </w:r>
      <w:r>
        <w:t xml:space="preserve"> </w:t>
      </w:r>
      <w:r>
        <w:t xml:space="preserve">significantly outperform the rule-based baseline (Spearman ρ around</w:t>
      </w:r>
      <w:r>
        <w:t xml:space="preserve"> </w:t>
      </w:r>
      <w:r>
        <w:t xml:space="preserve">0.54-0.58 versus 0.267) — a real, substantial gain from letting a model</w:t>
      </w:r>
      <w:r>
        <w:t xml:space="preserve"> </w:t>
      </w:r>
      <w:r>
        <w:t xml:space="preserve">learn the real, quantitative relationship between the thermodynamic and</w:t>
      </w:r>
      <w:r>
        <w:t xml:space="preserve"> </w:t>
      </w:r>
      <w:r>
        <w:t xml:space="preserve">compositional features directly, rather than combining them through</w:t>
      </w:r>
      <w:r>
        <w:t xml:space="preserve"> </w:t>
      </w:r>
      <w:r>
        <w:t xml:space="preserve">four hand-picked binary criteria. The</w:t>
      </w:r>
      <w:r>
        <w:t xml:space="preserve"> </w:t>
      </w:r>
      <w:r>
        <w:rPr>
          <w:b/>
          <w:bCs/>
        </w:rPr>
        <w:t xml:space="preserve">Random Forest is the strongest</w:t>
      </w:r>
      <w:r>
        <w:rPr>
          <w:b/>
          <w:bCs/>
        </w:rPr>
        <w:t xml:space="preserve"> </w:t>
      </w:r>
      <w:r>
        <w:rPr>
          <w:b/>
          <w:bCs/>
        </w:rPr>
        <w:t xml:space="preserve">model on every real metric</w:t>
      </w:r>
      <w:r>
        <w:t xml:space="preserve"> </w:t>
      </w:r>
      <w:r>
        <w:t xml:space="preserve">measured, ahead of both XGBoost and the</w:t>
      </w:r>
      <w:r>
        <w:t xml:space="preserve"> </w:t>
      </w:r>
      <w:r>
        <w:t xml:space="preserve">PyTorch MLP — a genuinely modest, believable margin (not one this</w:t>
      </w:r>
      <w:r>
        <w:t xml:space="preserve"> </w:t>
      </w:r>
      <w:r>
        <w:t xml:space="preserve">chapter over-interprets as</w:t>
      </w:r>
      <w:r>
        <w:t xml:space="preserve"> </w:t>
      </w:r>
      <w:r>
        <w:t xml:space="preserve">“tree ensembles are better than neural</w:t>
      </w:r>
      <w:r>
        <w:t xml:space="preserve"> </w:t>
      </w:r>
      <w:r>
        <w:t xml:space="preserve">networks for this problem”</w:t>
      </w:r>
      <w:r>
        <w:t xml:space="preserve"> </w:t>
      </w:r>
      <w:r>
        <w:t xml:space="preserve">from a single train/test split), consistent</w:t>
      </w:r>
      <w:r>
        <w:t xml:space="preserve"> </w:t>
      </w:r>
      <w:r>
        <w:t xml:space="preserve">with the real, well-established finding in the broader siRNA-efficacy</w:t>
      </w:r>
      <w:r>
        <w:t xml:space="preserve"> </w:t>
      </w:r>
      <w:r>
        <w:t xml:space="preserve">literature that this problem — a few dozen well-engineered</w:t>
      </w:r>
      <w:r>
        <w:t xml:space="preserve"> </w:t>
      </w:r>
      <w:r>
        <w:t xml:space="preserve">biophysical/compositional features against a noisy experimental</w:t>
      </w:r>
      <w:r>
        <w:t xml:space="preserve"> </w:t>
      </w:r>
      <w:r>
        <w:t xml:space="preserve">readout from a single assay platform — sits in a regime where gradient</w:t>
      </w:r>
      <w:r>
        <w:t xml:space="preserve"> </w:t>
      </w:r>
      <w:r>
        <w:t xml:space="preserve">boosting and random forests are frequently competitive with or ahead of</w:t>
      </w:r>
      <w:r>
        <w:t xml:space="preserve"> </w:t>
      </w:r>
      <w:r>
        <w:t xml:space="preserve">small neural networks, unlike the large-scale sequence/graph problems</w:t>
      </w:r>
      <w:r>
        <w:t xml:space="preserve"> </w:t>
      </w:r>
      <w:r>
        <w:t xml:space="preserve">(Chapters 6-10) where deep learning’s advantage is much larger. 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 0.30 and Spearman ρ around 0.58 are real, modest,</w:t>
      </w:r>
      <w:r>
        <w:t xml:space="preserve"> </w:t>
      </w:r>
      <w:r>
        <w:t xml:space="preserve">literature-consistent numbers for this exact task on this exact</w:t>
      </w:r>
      <w:r>
        <w:t xml:space="preserve"> </w:t>
      </w:r>
      <w:r>
        <w:t xml:space="preserve">dataset — well above the rule-based floor and well above chance, but</w:t>
      </w:r>
      <w:r>
        <w:t xml:space="preserve"> </w:t>
      </w:r>
      <w:r>
        <w:t xml:space="preserve">not the near-perfect predictor a compact, fourteen-feature model on a</w:t>
      </w:r>
      <w:r>
        <w:t xml:space="preserve"> </w:t>
      </w:r>
      <w:r>
        <w:t xml:space="preserve">noisy single-cell-line luciferase-reporter assay was ever going to</w:t>
      </w:r>
      <w:r>
        <w:t xml:space="preserve"> </w:t>
      </w:r>
      <w:r>
        <w:t xml:space="preserve">produce.</w:t>
      </w:r>
    </w:p>
    <w:p>
      <w:pPr>
        <w:pStyle w:val="BodyText"/>
      </w:pPr>
      <w:r>
        <w:rPr>
          <w:b/>
          <w:bCs/>
        </w:rPr>
        <w:t xml:space="preserve">Feature importances confirm established biology, not an artifact.</w:t>
      </w:r>
      <w:r>
        <w:t xml:space="preserve"> </w:t>
      </w:r>
      <w:r>
        <w:t xml:space="preserve">Random Forest’s single most important feature, by a wide margin, is</w:t>
      </w:r>
      <w:r>
        <w:t xml:space="preserve"> </w:t>
      </w:r>
      <w:r>
        <w:rPr>
          <w:rStyle w:val="VerbatimChar"/>
        </w:rPr>
        <w:t xml:space="preserve">pos1_is_AU</w:t>
      </w:r>
      <w:r>
        <w:t xml:space="preserve"> </w:t>
      </w:r>
      <w:r>
        <w:t xml:space="preserve">(importance 0.28 of 1.0 total; XGBoost ranks the same</w:t>
      </w:r>
      <w:r>
        <w:t xml:space="preserve"> </w:t>
      </w:r>
      <w:r>
        <w:t xml:space="preserve">feature even higher, at 0.45) — whether the guide strand’s 5’-terminal</w:t>
      </w:r>
      <w:r>
        <w:t xml:space="preserve"> </w:t>
      </w:r>
      <w:r>
        <w:t xml:space="preserve">base is A or U. This is not a novel finding; it is this chapter’s own,</w:t>
      </w:r>
      <w:r>
        <w:t xml:space="preserve"> </w:t>
      </w:r>
      <w:r>
        <w:t xml:space="preserve">independent, real quantitative confirmation of the single</w:t>
      </w:r>
      <w:r>
        <w:t xml:space="preserve"> </w:t>
      </w:r>
      <w:r>
        <w:t xml:space="preserve">best-established qualitative rule in the RNAi design literature</w:t>
      </w:r>
      <w:r>
        <w:t xml:space="preserve"> </w:t>
      </w:r>
      <w:r>
        <w:t xml:space="preserve">(Khvorova et al., 2003; Schwarz et al., 2003; Ui-Tei et al., 2004): a</w:t>
      </w:r>
      <w:r>
        <w:t xml:space="preserve"> </w:t>
      </w:r>
      <w:r>
        <w:t xml:space="preserve">weakly paired (A/U) 5’ terminus lowers that end’s local duplex</w:t>
      </w:r>
      <w:r>
        <w:t xml:space="preserve"> </w:t>
      </w:r>
      <w:r>
        <w:t xml:space="preserve">stability, biasing RISC to load the intended guide strand rather than</w:t>
      </w:r>
      <w:r>
        <w:t xml:space="preserve"> </w:t>
      </w:r>
      <w:r>
        <w:t xml:space="preserve">the passenger strand as the functional antisense species. Seeing this</w:t>
      </w:r>
      <w:r>
        <w:t xml:space="preserve"> </w:t>
      </w:r>
      <w:r>
        <w:t xml:space="preserve">exact, decades-old rule re-emerge as the dominant learned feature from</w:t>
      </w:r>
      <w:r>
        <w:t xml:space="preserve"> </w:t>
      </w:r>
      <w:r>
        <w:t xml:space="preserve">a real, independent, from-scratch feature-engineering-and-training</w:t>
      </w:r>
      <w:r>
        <w:t xml:space="preserve"> </w:t>
      </w:r>
      <w:r>
        <w:t xml:space="preserve">pipeline is a meaningful real sanity check on this section’s whole</w:t>
      </w:r>
      <w:r>
        <w:t xml:space="preserve"> </w:t>
      </w:r>
      <w:r>
        <w:t xml:space="preserve">approach, in the same spirit as Chapter 11’s redocking-validation</w:t>
      </w:r>
      <w:r>
        <w:t xml:space="preserve"> </w:t>
      </w:r>
      <w:r>
        <w:t xml:space="preserve">control or Chapter 13’s PAINS/QED sanity checks on drug-like chemistry:</w:t>
      </w:r>
      <w:r>
        <w:t xml:space="preserve"> </w:t>
      </w:r>
      <w:r>
        <w:t xml:space="preserve">a model that had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rediscovered this relationship would be the</w:t>
      </w:r>
      <w:r>
        <w:t xml:space="preserve"> </w:t>
      </w:r>
      <w:r>
        <w:t xml:space="preserve">result worth distrusting. The</w:t>
      </w:r>
      <w:r>
        <w:t xml:space="preserve"> </w:t>
      </w:r>
      <w:r>
        <w:rPr>
          <w:rStyle w:val="VerbatimChar"/>
        </w:rPr>
        <w:t xml:space="preserve">duplex_energy_total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target_unconstrained_mfe</w:t>
      </w:r>
      <w:r>
        <w:t xml:space="preserve">/</w:t>
      </w:r>
      <w:r>
        <w:rPr>
          <w:rStyle w:val="VerbatimChar"/>
        </w:rPr>
        <w:t xml:space="preserve">target_opening_energy</w:t>
      </w:r>
      <w:r>
        <w:t xml:space="preserve"> </w:t>
      </w:r>
      <w:r>
        <w:t xml:space="preserve">features — Section</w:t>
      </w:r>
      <w:r>
        <w:t xml:space="preserve"> </w:t>
      </w:r>
      <w:r>
        <w:t xml:space="preserve">14.1.3’s real accessibility machinery — cluster immediately behind it</w:t>
      </w:r>
      <w:r>
        <w:t xml:space="preserve"> </w:t>
      </w:r>
      <w:r>
        <w:t xml:space="preserve">in both models’ importance rankings, a real, quantitative</w:t>
      </w:r>
      <w:r>
        <w:t xml:space="preserve"> </w:t>
      </w:r>
      <w:r>
        <w:t xml:space="preserve">confirmation that target-site accessibility genuinely carries</w:t>
      </w:r>
      <w:r>
        <w:t xml:space="preserve"> </w:t>
      </w:r>
      <w:r>
        <w:t xml:space="preserve">independent predictive signal on this dataset, not merely a</w:t>
      </w:r>
      <w:r>
        <w:t xml:space="preserve"> </w:t>
      </w:r>
      <w:r>
        <w:t xml:space="preserve">theoretically motivated feature that turned out not to matter in</w:t>
      </w:r>
      <w:r>
        <w:t xml:space="preserve"> </w:t>
      </w:r>
      <w:r>
        <w:t xml:space="preserve">practice.</w:t>
      </w:r>
    </w:p>
    <w:bookmarkEnd w:id="20"/>
    <w:bookmarkStart w:id="21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project builds a real, complete, held-out-evaluated siRNA</w:t>
      </w:r>
      <w:r>
        <w:t xml:space="preserve"> </w:t>
      </w:r>
      <w:r>
        <w:t xml:space="preserve">efficacy predictor from real published silencing data and real,</w:t>
      </w:r>
      <w:r>
        <w:t xml:space="preserve"> </w:t>
      </w:r>
      <w:r>
        <w:t xml:space="preserve">independently verifiable RNA thermodynamics — but several real,</w:t>
      </w:r>
      <w:r>
        <w:t xml:space="preserve"> </w:t>
      </w:r>
      <w:r>
        <w:t xml:space="preserve">disclosed limitations bound how far its conclusions generalize. First,</w:t>
      </w:r>
      <w:r>
        <w:t xml:space="preserve"> </w:t>
      </w:r>
      <w:r>
        <w:t xml:space="preserve">the Huesken dataset itself covers only 34 real target genes; because</w:t>
      </w:r>
      <w:r>
        <w:t xml:space="preserve"> </w:t>
      </w:r>
      <w:r>
        <w:t xml:space="preserve">the redistributed data this chapter fetches carries no gene/transcript</w:t>
      </w:r>
      <w:r>
        <w:t xml:space="preserve"> </w:t>
      </w:r>
      <w:r>
        <w:t xml:space="preserve">identifier, the sequence-disjoint train/test split used here cannot</w:t>
      </w:r>
      <w:r>
        <w:t xml:space="preserve"> </w:t>
      </w:r>
      <w:r>
        <w:t xml:space="preserve">also be gene-disjoint, so some of the reported performance may reflect</w:t>
      </w:r>
      <w:r>
        <w:t xml:space="preserve"> </w:t>
      </w:r>
      <w:r>
        <w:t xml:space="preserve">partial memorization of a given transcript’s own local</w:t>
      </w:r>
      <w:r>
        <w:t xml:space="preserve"> </w:t>
      </w:r>
      <w:r>
        <w:t xml:space="preserve">structure/accessibility profile rather than purely sequence-generalizable</w:t>
      </w:r>
      <w:r>
        <w:t xml:space="preserve"> </w:t>
      </w:r>
      <w:r>
        <w:t xml:space="preserve">signal — the same category of leakage concern Chapter 5’s scaffold</w:t>
      </w:r>
      <w:r>
        <w:t xml:space="preserve"> </w:t>
      </w:r>
      <w:r>
        <w:t xml:space="preserve">split was built specifically to rule out for small-molecule QSAR, left</w:t>
      </w:r>
      <w:r>
        <w:t xml:space="preserve"> </w:t>
      </w:r>
      <w:r>
        <w:t xml:space="preserve">here as an open, disclosed gap rather than a silently assumed</w:t>
      </w:r>
      <w:r>
        <w:t xml:space="preserve"> </w:t>
      </w:r>
      <w:r>
        <w:t xml:space="preserve">non-issue. Second, every measurement in this dataset comes from a</w:t>
      </w:r>
      <w:r>
        <w:t xml:space="preserve"> </w:t>
      </w:r>
      <w:r>
        <w:t xml:space="preserve">single assay platform (dual-luciferase reporter, H1299 cells); Section</w:t>
      </w:r>
      <w:r>
        <w:t xml:space="preserve"> </w:t>
      </w:r>
      <w:r>
        <w:t xml:space="preserve">14.3’s model has not been tested against knockdown measured by direct</w:t>
      </w:r>
      <w:r>
        <w:t xml:space="preserve"> </w:t>
      </w:r>
      <w:r>
        <w:t xml:space="preserve">mRNA quantification, a different cell type, or a chemically modified</w:t>
      </w:r>
      <w:r>
        <w:t xml:space="preserve"> </w:t>
      </w:r>
      <w:r>
        <w:t xml:space="preserve">(2’-OMe/2’-F, Section 14.2.3) siRNA, any of which could shift the</w:t>
      </w:r>
      <w:r>
        <w:t xml:space="preserve"> </w:t>
      </w:r>
      <w:r>
        <w:t xml:space="preserve">real, learned feature-efficacy relationships. Third, the training data</w:t>
      </w:r>
      <w:r>
        <w:t xml:space="preserve"> </w:t>
      </w:r>
      <w:r>
        <w:t xml:space="preserve">source itself is an unlicensed, community-maintained redistribution of</w:t>
      </w:r>
      <w:r>
        <w:t xml:space="preserve"> </w:t>
      </w:r>
      <w:r>
        <w:t xml:space="preserve">a two-decade-old dataset — disclosed in full above, and mitigated by</w:t>
      </w:r>
      <w:r>
        <w:t xml:space="preserve"> </w:t>
      </w:r>
      <w:r>
        <w:t xml:space="preserve">using only the raw, factual (sequence, efficiency) fields and</w:t>
      </w:r>
      <w:r>
        <w:t xml:space="preserve"> </w:t>
      </w:r>
      <w:r>
        <w:t xml:space="preserve">independently verifying their internal consistency, but not eliminated</w:t>
      </w:r>
      <w:r>
        <w:t xml:space="preserve"> </w:t>
      </w:r>
      <w:r>
        <w:t xml:space="preserve">as a provenance caveat. Chapter 15 shifts the book’s focus once more,</w:t>
      </w:r>
      <w:r>
        <w:t xml:space="preserve"> </w:t>
      </w:r>
      <w:r>
        <w:t xml:space="preserve">from RNA’s own real biophysics to a different real cross-cutting</w:t>
      </w:r>
      <w:r>
        <w:t xml:space="preserve"> </w:t>
      </w:r>
      <w:r>
        <w:t xml:space="preserve">question: how physical conservation laws and quantum-mechanical</w:t>
      </w:r>
      <w:r>
        <w:t xml:space="preserve"> </w:t>
      </w:r>
      <w:r>
        <w:t xml:space="preserve">electronic-structure methods can be incorporated directly into the</w:t>
      </w:r>
      <w:r>
        <w:t xml:space="preserve"> </w:t>
      </w:r>
      <w:r>
        <w:t xml:space="preserve">learned models Chapters 1-14 have each built from a different real</w:t>
      </w:r>
      <w:r>
        <w:t xml:space="preserve"> </w:t>
      </w:r>
      <w:r>
        <w:t xml:space="preserve">angle.</w:t>
      </w:r>
    </w:p>
    <w:bookmarkEnd w:id="21"/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Huesken, D., Lange, J., Mickanin, C., Weiler, J., Asselbergs, F.,</w:t>
      </w:r>
      <w:r>
        <w:t xml:space="preserve"> </w:t>
      </w:r>
      <w:r>
        <w:t xml:space="preserve">Warner, J., Meloon, B., Engel, S., Rosenberg, A., Cohen, D., Labow,</w:t>
      </w:r>
      <w:r>
        <w:t xml:space="preserve"> </w:t>
      </w:r>
      <w:r>
        <w:t xml:space="preserve">M., Reinhardt, M., Natt, F., &amp; Hall, J. (2005). Design of a</w:t>
      </w:r>
      <w:r>
        <w:t xml:space="preserve"> </w:t>
      </w:r>
      <w:r>
        <w:t xml:space="preserve">genome-wide siRNA library using an artificial neural network.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, 23(8), 995-1001.</w:t>
      </w:r>
      <w:r>
        <w:t xml:space="preserve"> </w:t>
      </w:r>
      <w:r>
        <w:t xml:space="preserve">https://doi.org/10.1038/nbt1118</w:t>
      </w:r>
    </w:p>
    <w:p>
      <w:pPr>
        <w:pStyle w:val="Compact"/>
        <w:numPr>
          <w:ilvl w:val="0"/>
          <w:numId w:val="1001"/>
        </w:numPr>
      </w:pPr>
      <w:r>
        <w:t xml:space="preserve">Reynolds, A., Leake, D., Boese, Q., Scaringe, S., Marshall, W. S., &amp;</w:t>
      </w:r>
      <w:r>
        <w:t xml:space="preserve"> </w:t>
      </w:r>
      <w:r>
        <w:t xml:space="preserve">Khvorova, A. (2004). Rational siRNA design for RNA interference.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, 22(3), 326-330.</w:t>
      </w:r>
      <w:r>
        <w:t xml:space="preserve"> </w:t>
      </w:r>
      <w:r>
        <w:t xml:space="preserve">https://doi.org/10.1038/nbt936</w:t>
      </w:r>
    </w:p>
    <w:p>
      <w:pPr>
        <w:pStyle w:val="Compact"/>
        <w:numPr>
          <w:ilvl w:val="0"/>
          <w:numId w:val="1001"/>
        </w:numPr>
      </w:pPr>
      <w:r>
        <w:t xml:space="preserve">Ui-Tei, K., Naito, Y., Takahashi, F., Haraguchi, T., Ohki-Hamazaki,</w:t>
      </w:r>
      <w:r>
        <w:t xml:space="preserve"> </w:t>
      </w:r>
      <w:r>
        <w:t xml:space="preserve">H., Juni, A., Ueda, R., &amp; Saigo, K. (2004). Guidelines for the</w:t>
      </w:r>
      <w:r>
        <w:t xml:space="preserve"> </w:t>
      </w:r>
      <w:r>
        <w:t xml:space="preserve">selection of highly effective siRNA sequences for mammalian and</w:t>
      </w:r>
      <w:r>
        <w:t xml:space="preserve"> </w:t>
      </w:r>
      <w:r>
        <w:t xml:space="preserve">chick RNA interference.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32(3), 936-948.</w:t>
      </w:r>
      <w:r>
        <w:t xml:space="preserve"> </w:t>
      </w:r>
      <w:r>
        <w:t xml:space="preserve">https://doi.org/10.1093/nar/gkh247</w:t>
      </w:r>
    </w:p>
    <w:p>
      <w:pPr>
        <w:pStyle w:val="Compact"/>
        <w:numPr>
          <w:ilvl w:val="0"/>
          <w:numId w:val="1001"/>
        </w:numPr>
      </w:pPr>
      <w:r>
        <w:t xml:space="preserve">Khvorova, A., Reynolds, A., &amp; Jayasena, S. D. (2003). Functional</w:t>
      </w:r>
      <w:r>
        <w:t xml:space="preserve"> </w:t>
      </w:r>
      <w:r>
        <w:t xml:space="preserve">siRNAs and miRNAs exhibit strand bias.</w:t>
      </w:r>
      <w:r>
        <w:t xml:space="preserve"> </w:t>
      </w:r>
      <w:r>
        <w:rPr>
          <w:i/>
          <w:iCs/>
        </w:rPr>
        <w:t xml:space="preserve">Cell</w:t>
      </w:r>
      <w:r>
        <w:t xml:space="preserve">, 115(2), 209-216.</w:t>
      </w:r>
      <w:r>
        <w:t xml:space="preserve"> </w:t>
      </w:r>
      <w:r>
        <w:t xml:space="preserve">https://doi.org/10.1016/s0092-8674(03)00801-8</w:t>
      </w:r>
    </w:p>
    <w:p>
      <w:pPr>
        <w:pStyle w:val="Compact"/>
        <w:numPr>
          <w:ilvl w:val="0"/>
          <w:numId w:val="1001"/>
        </w:numPr>
      </w:pPr>
      <w:r>
        <w:t xml:space="preserve">Schwarz, D. S., Hutvágner, G., Du, T., Xu, Z., Aronin, N., &amp; Zamore,</w:t>
      </w:r>
      <w:r>
        <w:t xml:space="preserve"> </w:t>
      </w:r>
      <w:r>
        <w:t xml:space="preserve">P. D. (2003). Asymmetry in the assembly of the RNAi enzyme complex.</w:t>
      </w:r>
      <w:r>
        <w:t xml:space="preserve"> </w:t>
      </w:r>
      <w:r>
        <w:rPr>
          <w:i/>
          <w:iCs/>
        </w:rPr>
        <w:t xml:space="preserve">Cell</w:t>
      </w:r>
      <w:r>
        <w:t xml:space="preserve">, 115(2), 199-208.</w:t>
      </w:r>
      <w:r>
        <w:t xml:space="preserve"> </w:t>
      </w:r>
      <w:r>
        <w:t xml:space="preserve">https://doi.org/10.1016/s0092-8674(03)00759-1</w:t>
      </w:r>
    </w:p>
    <w:p>
      <w:pPr>
        <w:pStyle w:val="Compact"/>
        <w:numPr>
          <w:ilvl w:val="0"/>
          <w:numId w:val="1001"/>
        </w:numPr>
      </w:pPr>
      <w:r>
        <w:t xml:space="preserve">Lorenz, R., Bernhart, S. H., Höner zu Siederdissen, C., Tafer, H.,</w:t>
      </w:r>
      <w:r>
        <w:t xml:space="preserve"> </w:t>
      </w:r>
      <w:r>
        <w:t xml:space="preserve">Flamm, C., Stadler, P. F., &amp; Hofacker, I. L. (2011). ViennaRNA</w:t>
      </w:r>
      <w:r>
        <w:t xml:space="preserve"> </w:t>
      </w:r>
      <w:r>
        <w:t xml:space="preserve">Package 2.0.</w:t>
      </w:r>
      <w:r>
        <w:t xml:space="preserve"> </w:t>
      </w:r>
      <w:r>
        <w:rPr>
          <w:i/>
          <w:iCs/>
        </w:rPr>
        <w:t xml:space="preserve">Algorithms for Molecular Biology</w:t>
      </w:r>
      <w:r>
        <w:t xml:space="preserve">, 6, 26.</w:t>
      </w:r>
      <w:r>
        <w:t xml:space="preserve"> </w:t>
      </w:r>
      <w:r>
        <w:t xml:space="preserve">https://doi.org/10.1186/1748-7188-6-26</w:t>
      </w:r>
    </w:p>
    <w:p>
      <w:pPr>
        <w:pStyle w:val="Compact"/>
        <w:numPr>
          <w:ilvl w:val="0"/>
          <w:numId w:val="1001"/>
        </w:numPr>
      </w:pPr>
      <w:r>
        <w:t xml:space="preserve">Mückstein, U., Tafer, H., Hackermüller, J., Bernhart, S. H., Stadler,</w:t>
      </w:r>
      <w:r>
        <w:t xml:space="preserve"> </w:t>
      </w:r>
      <w:r>
        <w:t xml:space="preserve">P. F., &amp; Hofacker, I. L. (2006). Thermodynamics of RNA-RNA binding.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, 22(10), 1177-1182.</w:t>
      </w:r>
      <w:r>
        <w:t xml:space="preserve"> </w:t>
      </w:r>
      <w:r>
        <w:t xml:space="preserve">https://doi.org/10.1093/bioinformatics/btl024</w:t>
      </w:r>
    </w:p>
    <w:p>
      <w:pPr>
        <w:pStyle w:val="Compact"/>
        <w:numPr>
          <w:ilvl w:val="0"/>
          <w:numId w:val="1001"/>
        </w:numPr>
      </w:pPr>
      <w:r>
        <w:t xml:space="preserve">Zuker, M., &amp; Stiegler, P. (1981). Optimal computer folding of large</w:t>
      </w:r>
      <w:r>
        <w:t xml:space="preserve"> </w:t>
      </w:r>
      <w:r>
        <w:t xml:space="preserve">RNA sequences using thermodynamics and auxiliary information.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9(1), 133-148.</w:t>
      </w:r>
      <w:r>
        <w:t xml:space="preserve"> </w:t>
      </w:r>
      <w:r>
        <w:t xml:space="preserve">https://doi.org/10.1093/nar/9.1.133</w:t>
      </w:r>
    </w:p>
    <w:p>
      <w:pPr>
        <w:pStyle w:val="Compact"/>
        <w:numPr>
          <w:ilvl w:val="0"/>
          <w:numId w:val="1001"/>
        </w:numPr>
      </w:pPr>
      <w:r>
        <w:t xml:space="preserve">McCaskill, J. S. (1990). The equilibrium partition function and base</w:t>
      </w:r>
      <w:r>
        <w:t xml:space="preserve"> </w:t>
      </w:r>
      <w:r>
        <w:t xml:space="preserve">pair binding probabilities for RNA secondary structure.</w:t>
      </w:r>
      <w:r>
        <w:t xml:space="preserve"> </w:t>
      </w:r>
      <w:r>
        <w:rPr>
          <w:i/>
          <w:iCs/>
        </w:rPr>
        <w:t xml:space="preserve">Biopolymers</w:t>
      </w:r>
      <w:r>
        <w:t xml:space="preserve">, 29(6-7), 1105-1119.</w:t>
      </w:r>
      <w:r>
        <w:t xml:space="preserve"> </w:t>
      </w:r>
      <w:r>
        <w:t xml:space="preserve">https://doi.org/10.1002/bip.360290621</w:t>
      </w:r>
    </w:p>
    <w:p>
      <w:pPr>
        <w:pStyle w:val="Compact"/>
        <w:numPr>
          <w:ilvl w:val="0"/>
          <w:numId w:val="1001"/>
        </w:numPr>
      </w:pPr>
      <w:r>
        <w:t xml:space="preserve">Turner, D. H., &amp; Mathews, D. H. (2010). NNDB: the nearest neighbor</w:t>
      </w:r>
      <w:r>
        <w:t xml:space="preserve"> </w:t>
      </w:r>
      <w:r>
        <w:t xml:space="preserve">parameter database for predicting stability of nucleic acid</w:t>
      </w:r>
      <w:r>
        <w:t xml:space="preserve"> </w:t>
      </w:r>
      <w:r>
        <w:t xml:space="preserve">secondary structure.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38(suppl_1), D280-D282.</w:t>
      </w:r>
      <w:r>
        <w:t xml:space="preserve"> </w:t>
      </w:r>
      <w:r>
        <w:t xml:space="preserve">https://doi.org/10.1093/nar/gkp892</w:t>
      </w:r>
    </w:p>
    <w:p>
      <w:pPr>
        <w:pStyle w:val="Compact"/>
        <w:numPr>
          <w:ilvl w:val="0"/>
          <w:numId w:val="1001"/>
        </w:numPr>
      </w:pPr>
      <w:r>
        <w:t xml:space="preserve">Das, R., &amp; Baker, D. (2007). Automated de novo prediction of</w:t>
      </w:r>
      <w:r>
        <w:t xml:space="preserve"> </w:t>
      </w:r>
      <w:r>
        <w:t xml:space="preserve">native-like RNA tertiary structures.</w:t>
      </w:r>
      <w:r>
        <w:t xml:space="preserve"> </w:t>
      </w:r>
      <w:r>
        <w:rPr>
          <w:i/>
          <w:iCs/>
        </w:rPr>
        <w:t xml:space="preserve">Proceedings of the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Academy of Sciences</w:t>
      </w:r>
      <w:r>
        <w:t xml:space="preserve">, 104(37), 14664-14669.</w:t>
      </w:r>
      <w:r>
        <w:t xml:space="preserve"> </w:t>
      </w:r>
      <w:r>
        <w:t xml:space="preserve">https://doi.org/10.1073/pnas.0703836104</w:t>
      </w:r>
    </w:p>
    <w:p>
      <w:pPr>
        <w:pStyle w:val="Compact"/>
        <w:numPr>
          <w:ilvl w:val="0"/>
          <w:numId w:val="1001"/>
        </w:numPr>
      </w:pPr>
      <w:r>
        <w:t xml:space="preserve">Watkins, A. M., Rangan, R., &amp; Das, R. (2020). FARFAR2: Improved de</w:t>
      </w:r>
      <w:r>
        <w:t xml:space="preserve"> </w:t>
      </w:r>
      <w:r>
        <w:t xml:space="preserve">novo Rosetta prediction of complex global RNA folds.</w:t>
      </w:r>
      <w:r>
        <w:t xml:space="preserve"> </w:t>
      </w:r>
      <w:r>
        <w:rPr>
          <w:i/>
          <w:iCs/>
        </w:rPr>
        <w:t xml:space="preserve">Structure</w:t>
      </w:r>
      <w:r>
        <w:t xml:space="preserve">,</w:t>
      </w:r>
      <w:r>
        <w:t xml:space="preserve"> </w:t>
      </w:r>
      <w:r>
        <w:t xml:space="preserve">28(8), 963-976.e6. https://doi.org/10.1016/j.str.2020.05.011</w:t>
      </w:r>
    </w:p>
    <w:p>
      <w:pPr>
        <w:pStyle w:val="Compact"/>
        <w:numPr>
          <w:ilvl w:val="0"/>
          <w:numId w:val="1001"/>
        </w:numPr>
      </w:pPr>
      <w:r>
        <w:t xml:space="preserve">Townshend, R. J. L., Eismann, S., Watkins, A. M., Rangan, R.,</w:t>
      </w:r>
      <w:r>
        <w:t xml:space="preserve"> </w:t>
      </w:r>
      <w:r>
        <w:t xml:space="preserve">Karelina, M., Das, R., &amp; Dror, R. O. (2021). Geometric deep learning</w:t>
      </w:r>
      <w:r>
        <w:t xml:space="preserve"> </w:t>
      </w:r>
      <w:r>
        <w:t xml:space="preserve">of RNA structure.</w:t>
      </w:r>
      <w:r>
        <w:t xml:space="preserve"> </w:t>
      </w:r>
      <w:r>
        <w:rPr>
          <w:i/>
          <w:iCs/>
        </w:rPr>
        <w:t xml:space="preserve">Science</w:t>
      </w:r>
      <w:r>
        <w:t xml:space="preserve">, 373(6558), 1047-1051.</w:t>
      </w:r>
      <w:r>
        <w:t xml:space="preserve"> </w:t>
      </w:r>
      <w:r>
        <w:t xml:space="preserve">https://doi.org/10.1126/science.abe5650</w:t>
      </w:r>
    </w:p>
    <w:p>
      <w:pPr>
        <w:pStyle w:val="Compact"/>
        <w:numPr>
          <w:ilvl w:val="0"/>
          <w:numId w:val="1001"/>
        </w:numPr>
      </w:pPr>
      <w:r>
        <w:t xml:space="preserve">Baek, M., McHugh, R., Anishchenko, I., Jiang, H., Baker, D., &amp;</w:t>
      </w:r>
      <w:r>
        <w:t xml:space="preserve"> </w:t>
      </w:r>
      <w:r>
        <w:t xml:space="preserve">DiMaio, F. (2024). Accurate prediction of protein-nucleic acid</w:t>
      </w:r>
      <w:r>
        <w:t xml:space="preserve"> </w:t>
      </w:r>
      <w:r>
        <w:t xml:space="preserve">complexes using RoseTTAFoldNA.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, 21(1), 117-121.</w:t>
      </w:r>
      <w:r>
        <w:t xml:space="preserve"> </w:t>
      </w:r>
      <w:r>
        <w:t xml:space="preserve">https://doi.org/10.1038/s41592-023-02086-5</w:t>
      </w:r>
    </w:p>
    <w:p>
      <w:pPr>
        <w:pStyle w:val="Compact"/>
        <w:numPr>
          <w:ilvl w:val="0"/>
          <w:numId w:val="1001"/>
        </w:numPr>
      </w:pPr>
      <w:r>
        <w:t xml:space="preserve">Wang, W., Feng, C., Han, R., Wang, Z., Ye, L., Du, Z., Wei, H.,</w:t>
      </w:r>
      <w:r>
        <w:t xml:space="preserve"> </w:t>
      </w:r>
      <w:r>
        <w:t xml:space="preserve">Zhang, F., Peng, Z., &amp; Yang, J. (2023). trRosettaRNA: automated</w:t>
      </w:r>
      <w:r>
        <w:t xml:space="preserve"> </w:t>
      </w:r>
      <w:r>
        <w:t xml:space="preserve">prediction of RNA 3D structure with transformer network.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t xml:space="preserve">, 14, 7266.</w:t>
      </w:r>
      <w:r>
        <w:t xml:space="preserve"> </w:t>
      </w:r>
      <w:r>
        <w:t xml:space="preserve">https://doi.org/10.1038/s41467-023-42528-4</w:t>
      </w:r>
    </w:p>
    <w:p>
      <w:pPr>
        <w:pStyle w:val="Compact"/>
        <w:numPr>
          <w:ilvl w:val="0"/>
          <w:numId w:val="1001"/>
        </w:numPr>
      </w:pPr>
      <w:r>
        <w:t xml:space="preserve">Li, Y., Zhang, C., Feng, C., Pearce, R., Freddolino, P. L., &amp; Zhang,</w:t>
      </w:r>
      <w:r>
        <w:t xml:space="preserve"> </w:t>
      </w:r>
      <w:r>
        <w:t xml:space="preserve">Y. (2023). Integrating end-to-end learning with deep geometrical</w:t>
      </w:r>
      <w:r>
        <w:t xml:space="preserve"> </w:t>
      </w:r>
      <w:r>
        <w:t xml:space="preserve">potentials for ab initio RNA structure prediction.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t xml:space="preserve">, 14, 5745.</w:t>
      </w:r>
      <w:r>
        <w:t xml:space="preserve"> </w:t>
      </w:r>
      <w:r>
        <w:t xml:space="preserve">https://doi.org/10.1038/s41467-023-41303-9</w:t>
      </w:r>
    </w:p>
    <w:p>
      <w:pPr>
        <w:pStyle w:val="Compact"/>
        <w:numPr>
          <w:ilvl w:val="0"/>
          <w:numId w:val="1001"/>
        </w:numPr>
      </w:pPr>
      <w:r>
        <w:t xml:space="preserve">Presnyak, V., Alhusaini, N., Chen, Y.-H., Martin, S., Morris, N.,</w:t>
      </w:r>
      <w:r>
        <w:t xml:space="preserve"> </w:t>
      </w:r>
      <w:r>
        <w:t xml:space="preserve">Kline, N., Olson, S., Weinberg, D., Baker, K. E., Graveley, B. R., &amp;</w:t>
      </w:r>
      <w:r>
        <w:t xml:space="preserve"> </w:t>
      </w:r>
      <w:r>
        <w:t xml:space="preserve">Coller, J. (2015). Codon optimality is a major determinant of mRNA</w:t>
      </w:r>
      <w:r>
        <w:t xml:space="preserve"> </w:t>
      </w:r>
      <w:r>
        <w:t xml:space="preserve">stability.</w:t>
      </w:r>
      <w:r>
        <w:t xml:space="preserve"> </w:t>
      </w:r>
      <w:r>
        <w:rPr>
          <w:i/>
          <w:iCs/>
        </w:rPr>
        <w:t xml:space="preserve">Cell</w:t>
      </w:r>
      <w:r>
        <w:t xml:space="preserve">, 160(6), 1111-1124.</w:t>
      </w:r>
      <w:r>
        <w:t xml:space="preserve"> </w:t>
      </w:r>
      <w:r>
        <w:t xml:space="preserve">https://doi.org/10.1016/j.cell.2015.02.029</w:t>
      </w:r>
    </w:p>
    <w:p>
      <w:pPr>
        <w:pStyle w:val="Compact"/>
        <w:numPr>
          <w:ilvl w:val="0"/>
          <w:numId w:val="1001"/>
        </w:numPr>
      </w:pPr>
      <w:r>
        <w:t xml:space="preserve">Zhang, H., Zhang, L., Lin, A., Xu, C., Li, Z., Liu, K., Liu, B., Ma,</w:t>
      </w:r>
      <w:r>
        <w:t xml:space="preserve"> </w:t>
      </w:r>
      <w:r>
        <w:t xml:space="preserve">X., Zhao, F., Jiang, H., Chen, C., Shen, H., Li, H., Mathews, D. H.,</w:t>
      </w:r>
      <w:r>
        <w:t xml:space="preserve"> </w:t>
      </w:r>
      <w:r>
        <w:t xml:space="preserve">Zhang, Y., &amp; Huang, L. (2023). Algorithm for optimized mRNA design</w:t>
      </w:r>
      <w:r>
        <w:t xml:space="preserve"> </w:t>
      </w:r>
      <w:r>
        <w:t xml:space="preserve">improves stability and immunogenicity.</w:t>
      </w:r>
      <w:r>
        <w:t xml:space="preserve"> </w:t>
      </w:r>
      <w:r>
        <w:rPr>
          <w:i/>
          <w:iCs/>
        </w:rPr>
        <w:t xml:space="preserve">Nature</w:t>
      </w:r>
      <w:r>
        <w:t xml:space="preserve">, 621(7978), 396-403.</w:t>
      </w:r>
      <w:r>
        <w:t xml:space="preserve"> </w:t>
      </w:r>
      <w:r>
        <w:t xml:space="preserve">https://doi.org/10.1038/s41586-023-06127-z</w:t>
      </w:r>
    </w:p>
    <w:p>
      <w:pPr>
        <w:pStyle w:val="Compact"/>
        <w:numPr>
          <w:ilvl w:val="0"/>
          <w:numId w:val="1001"/>
        </w:numPr>
      </w:pPr>
      <w:r>
        <w:t xml:space="preserve">Leppek, K., Byeon, G. W., Kladwang, W., Wayment-Steele, H. K., Kerr,</w:t>
      </w:r>
      <w:r>
        <w:t xml:space="preserve"> </w:t>
      </w:r>
      <w:r>
        <w:t xml:space="preserve">C. H., Xu, A. F., et al. (2022). Combinatorial optimization of mRNA</w:t>
      </w:r>
      <w:r>
        <w:t xml:space="preserve"> </w:t>
      </w:r>
      <w:r>
        <w:t xml:space="preserve">structure, stability, and translation for RNA-based therapeutics.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13, 1536.</w:t>
      </w:r>
      <w:r>
        <w:t xml:space="preserve"> </w:t>
      </w:r>
      <w:r>
        <w:t xml:space="preserve">https://doi.org/10.1038/s41467-022-28776-w</w:t>
      </w:r>
    </w:p>
    <w:p>
      <w:pPr>
        <w:pStyle w:val="Compact"/>
        <w:numPr>
          <w:ilvl w:val="0"/>
          <w:numId w:val="1001"/>
        </w:numPr>
      </w:pPr>
      <w:r>
        <w:t xml:space="preserve">Karikó, K., Buckstein, M., Ni, H., &amp; Weissman, D. (2005). Suppression</w:t>
      </w:r>
      <w:r>
        <w:t xml:space="preserve"> </w:t>
      </w:r>
      <w:r>
        <w:t xml:space="preserve">of RNA recognition by Toll-like receptors: the impact of nucleoside</w:t>
      </w:r>
      <w:r>
        <w:t xml:space="preserve"> </w:t>
      </w:r>
      <w:r>
        <w:t xml:space="preserve">modification and the evolutionary origin of RNA.</w:t>
      </w:r>
      <w:r>
        <w:t xml:space="preserve"> </w:t>
      </w:r>
      <w:r>
        <w:rPr>
          <w:i/>
          <w:iCs/>
        </w:rPr>
        <w:t xml:space="preserve">Immunity</w:t>
      </w:r>
      <w:r>
        <w:t xml:space="preserve">, 23(2),</w:t>
      </w:r>
      <w:r>
        <w:t xml:space="preserve"> </w:t>
      </w:r>
      <w:r>
        <w:t xml:space="preserve">165-175. https://doi.org/10.1016/j.immuni.2005.06.008</w:t>
      </w:r>
    </w:p>
    <w:p>
      <w:pPr>
        <w:pStyle w:val="FirstParagraph"/>
      </w:pPr>
      <w:r>
        <w:t xml:space="preserve">All feature-computation examples, model metrics, and feature-importance</w:t>
      </w:r>
      <w:r>
        <w:t xml:space="preserve"> </w:t>
      </w:r>
      <w:r>
        <w:t xml:space="preserve">values cited in Section 14.3 were computed directly by running</w:t>
      </w:r>
      <w:r>
        <w:t xml:space="preserve"> </w:t>
      </w:r>
      <w:r>
        <w:rPr>
          <w:rStyle w:val="VerbatimChar"/>
        </w:rPr>
        <w:t xml:space="preserve">sirna_efficacy.py</w:t>
      </w:r>
      <w:r>
        <w:t xml:space="preserve"> </w:t>
      </w:r>
      <w:r>
        <w:t xml:space="preserve">against the real, cached, curated Huesken</w:t>
      </w:r>
      <w:r>
        <w:t xml:space="preserve"> </w:t>
      </w:r>
      <w:r>
        <w:t xml:space="preserve">train/test splits on 2026-08-21, not taken from a secondary source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results/sirna_efficacy_results.json</w:t>
      </w:r>
      <w:r>
        <w:t xml:space="preserve"> </w:t>
      </w:r>
      <w:r>
        <w:t xml:space="preserve">to reproduce.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2026-08-21T20:57:00Z</dcterms:created>
  <dcterms:modified xsi:type="dcterms:W3CDTF">2026-08-21T20:57:00Z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