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cd4c9c1acdfadb878dc2968121ac8752acd35e1"/>
    <w:p>
      <w:pPr>
        <w:pStyle w:val="Heading1"/>
      </w:pPr>
      <w:r>
        <w:t xml:space="preserve">Chapter 17: Capstone Project 2 — De Novo Neutralizing Antibody Design</w:t>
      </w:r>
    </w:p>
    <w:p>
      <w:pPr>
        <w:pStyle w:val="FirstParagraph"/>
      </w:pPr>
      <w:r>
        <w:t xml:space="preserve">Chapter 16 closed this book’s first capstone campaign against a real</w:t>
      </w:r>
      <w:r>
        <w:t xml:space="preserve"> </w:t>
      </w:r>
      <w:r>
        <w:t xml:space="preserve">small-molecule oncology target. This chapter runs the second, and</w:t>
      </w:r>
      <w:r>
        <w:t xml:space="preserve"> </w:t>
      </w:r>
      <w:r>
        <w:t xml:space="preserve">final, capstone: a real, end-to-end binder-design campaign against a</w:t>
      </w:r>
      <w:r>
        <w:t xml:space="preserve"> </w:t>
      </w:r>
      <w:r>
        <w:t xml:space="preserve">real macromolecular target — a viral surface antigen — chaining</w:t>
      </w:r>
      <w:r>
        <w:t xml:space="preserve"> </w:t>
      </w:r>
      <w:r>
        <w:t xml:space="preserve">methods from Chapters 9-10 (structure prediction, inverse folding),</w:t>
      </w:r>
      <w:r>
        <w:t xml:space="preserve"> </w:t>
      </w:r>
      <w:r>
        <w:t xml:space="preserve">the same real biophysical target this book’s capstone pair uses to</w:t>
      </w:r>
      <w:r>
        <w:t xml:space="preserve"> </w:t>
      </w:r>
      <w:r>
        <w:t xml:space="preserve">show that the two dominant modalities in modern drug discovery, small</w:t>
      </w:r>
      <w:r>
        <w:t xml:space="preserve"> </w:t>
      </w:r>
      <w:r>
        <w:t xml:space="preserve">molecules and biologics, are addressed by structurally related but</w:t>
      </w:r>
      <w:r>
        <w:t xml:space="preserve"> </w:t>
      </w:r>
      <w:r>
        <w:t xml:space="preserve">practically distinct computational pipelines. As in Chapter 16, nothing</w:t>
      </w:r>
      <w:r>
        <w:t xml:space="preserve"> </w:t>
      </w:r>
      <w:r>
        <w:t xml:space="preserve">below is methodologically new: every stage is a real method this book</w:t>
      </w:r>
      <w:r>
        <w:t xml:space="preserve"> </w:t>
      </w:r>
      <w:r>
        <w:t xml:space="preserve">has already introduced and validated. What is new is chaining them</w:t>
      </w:r>
      <w:r>
        <w:t xml:space="preserve"> </w:t>
      </w:r>
      <w:r>
        <w:t xml:space="preserve">together against a harder, higher-dimensional design problem —</w:t>
      </w:r>
      <w:r>
        <w:t xml:space="preserve"> </w:t>
      </w:r>
      <w:r>
        <w:t xml:space="preserve">redesigning part of a 121-residue protein rather than generating a</w:t>
      </w:r>
      <w:r>
        <w:t xml:space="preserve"> </w:t>
      </w:r>
      <w:r>
        <w:t xml:space="preserve">small molecule from a fixed vocabulary — and the specific real</w:t>
      </w:r>
      <w:r>
        <w:t xml:space="preserve"> </w:t>
      </w:r>
      <w:r>
        <w:t xml:space="preserve">engineering and feasibility decisions that chaining requires.</w:t>
      </w:r>
    </w:p>
    <w:bookmarkStart w:id="9" w:name="objective"/>
    <w:p>
      <w:pPr>
        <w:pStyle w:val="Heading2"/>
      </w:pPr>
      <w:r>
        <w:t xml:space="preserve">17.1 Objective</w:t>
      </w:r>
    </w:p>
    <w:p>
      <w:pPr>
        <w:pStyle w:val="FirstParagraph"/>
      </w:pPr>
      <w:r>
        <w:t xml:space="preserve">This capstone’s real target is the receptor-binding domain (RBD) of</w:t>
      </w:r>
      <w:r>
        <w:t xml:space="preserve"> </w:t>
      </w:r>
      <w:r>
        <w:t xml:space="preserve">the SARS-CoV-2 spike glycoprotein — a real, extensively characterized</w:t>
      </w:r>
      <w:r>
        <w:t xml:space="preserve"> </w:t>
      </w:r>
      <w:r>
        <w:t xml:space="preserve">viral surface antigen, and specifically the same real epitope this</w:t>
      </w:r>
      <w:r>
        <w:t xml:space="preserve"> </w:t>
      </w:r>
      <w:r>
        <w:t xml:space="preserve">domain uses to engage its human receptor, angiotensin-converting</w:t>
      </w:r>
      <w:r>
        <w:t xml:space="preserve"> </w:t>
      </w:r>
      <w:r>
        <w:t xml:space="preserve">enzyme 2 (ACE2), the interaction that both mediates viral entry and</w:t>
      </w:r>
      <w:r>
        <w:t xml:space="preserve"> </w:t>
      </w:r>
      <w:r>
        <w:t xml:space="preserve">defines the primary target of essentially every clinically relevant</w:t>
      </w:r>
      <w:r>
        <w:t xml:space="preserve"> </w:t>
      </w:r>
      <w:r>
        <w:t xml:space="preserve">neutralizing antibody and nanobody raised against this virus (Lan et</w:t>
      </w:r>
      <w:r>
        <w:t xml:space="preserve"> </w:t>
      </w:r>
      <w:r>
        <w:t xml:space="preserve">al., 2020). A protein binder that occupies this exact surface —</w:t>
      </w:r>
      <w:r>
        <w:t xml:space="preserve"> </w:t>
      </w:r>
      <w:r>
        <w:t xml:space="preserve">whether a natural antibody, a nanobody, or a designed miniprotein — is</w:t>
      </w:r>
      <w:r>
        <w:t xml:space="preserve"> </w:t>
      </w:r>
      <w:r>
        <w:t xml:space="preserve">neutralizing by the same direct steric-competition mechanism a</w:t>
      </w:r>
      <w:r>
        <w:t xml:space="preserve"> </w:t>
      </w:r>
      <w:r>
        <w:t xml:space="preserve">small-molecule ATP-competitive kinase inhibitor uses against its own</w:t>
      </w:r>
      <w:r>
        <w:t xml:space="preserve"> </w:t>
      </w:r>
      <w:r>
        <w:t xml:space="preserve">target’s active site (Chapter 16 §16.1), just enacted by a</w:t>
      </w:r>
      <w:r>
        <w:t xml:space="preserve"> </w:t>
      </w:r>
      <w:r>
        <w:t xml:space="preserve">macromolecular interface rather than a small binding pocket.</w:t>
      </w:r>
    </w:p>
    <w:p>
      <w:pPr>
        <w:pStyle w:val="BodyText"/>
      </w:pPr>
      <w:r>
        <w:rPr>
          <w:b/>
          <w:bCs/>
        </w:rPr>
        <w:t xml:space="preserve">The real objective</w:t>
      </w:r>
      <w:r>
        <w:t xml:space="preserve">, concretely: starting from a real, already</w:t>
      </w:r>
      <w:r>
        <w:t xml:space="preserve"> </w:t>
      </w:r>
      <w:r>
        <w:t xml:space="preserve">crystallized nanobody that binds this exact epitope, use ProteinMPNN</w:t>
      </w:r>
      <w:r>
        <w:t xml:space="preserve"> </w:t>
      </w:r>
      <w:r>
        <w:t xml:space="preserve">to generate new candidate sequences for its antigen-binding loops,</w:t>
      </w:r>
      <w:r>
        <w:t xml:space="preserve"> </w:t>
      </w:r>
      <w:r>
        <w:t xml:space="preserve">and carry them through the same category of computational verification</w:t>
      </w:r>
      <w:r>
        <w:t xml:space="preserve"> </w:t>
      </w:r>
      <w:r>
        <w:t xml:space="preserve">a real antibody-engineering campaign would require before committing</w:t>
      </w:r>
      <w:r>
        <w:t xml:space="preserve"> </w:t>
      </w:r>
      <w:r>
        <w:t xml:space="preserve">wet-lab expression and binding-assay resources — structural</w:t>
      </w:r>
      <w:r>
        <w:t xml:space="preserve"> </w:t>
      </w:r>
      <w:r>
        <w:t xml:space="preserve">self-consistency, and real, quantitative interface and</w:t>
      </w:r>
      <w:r>
        <w:t xml:space="preserve"> </w:t>
      </w:r>
      <w:r>
        <w:t xml:space="preserve">binding-affinity analysis — while being fully honest, at every stage,</w:t>
      </w:r>
      <w:r>
        <w:t xml:space="preserve"> </w:t>
      </w:r>
      <w:r>
        <w:t xml:space="preserve">about which parts of the outline’s canonical pipeline</w:t>
      </w:r>
      <w:r>
        <w:t xml:space="preserve"> </w:t>
      </w:r>
      <w:r>
        <w:t xml:space="preserve">(target definition, backbone generation, sequence design, 3D</w:t>
      </w:r>
      <w:r>
        <w:t xml:space="preserve"> </w:t>
      </w:r>
      <w:r>
        <w:t xml:space="preserve">validation, affinity prediction) this environment can and cannot</w:t>
      </w:r>
      <w:r>
        <w:t xml:space="preserve"> </w:t>
      </w:r>
      <w:r>
        <w:t xml:space="preserve">actually run.</w:t>
      </w:r>
    </w:p>
    <w:p>
      <w:pPr>
        <w:pStyle w:val="BodyText"/>
      </w:pPr>
      <w:r>
        <w:rPr>
          <w:b/>
          <w:bCs/>
        </w:rPr>
        <w:t xml:space="preserve">A feasibility investigation, extended from Chapter 10, before any</w:t>
      </w:r>
      <w:r>
        <w:rPr>
          <w:b/>
          <w:bCs/>
        </w:rPr>
        <w:t xml:space="preserve"> </w:t>
      </w:r>
      <w:r>
        <w:rPr>
          <w:b/>
          <w:bCs/>
        </w:rPr>
        <w:t xml:space="preserve">code was written.</w:t>
      </w:r>
      <w:r>
        <w:t xml:space="preserve"> </w:t>
      </w:r>
      <w:r>
        <w:t xml:space="preserve">Chapter 10 §10.1 already investigated RFdiffusion</w:t>
      </w:r>
      <w:r>
        <w:t xml:space="preserve"> </w:t>
      </w:r>
      <w:r>
        <w:t xml:space="preserve">(Watson et al., 2023) directly against the</w:t>
      </w:r>
      <w:r>
        <w:t xml:space="preserve"> </w:t>
      </w:r>
      <w:r>
        <w:rPr>
          <w:rStyle w:val="VerbatimChar"/>
        </w:rPr>
        <w:t xml:space="preserve">RosettaCommons/RFdiffusion</w:t>
      </w:r>
      <w:r>
        <w:t xml:space="preserve"> </w:t>
      </w:r>
      <w:r>
        <w:t xml:space="preserve">GitHub repository and found it infeasible for this book’s runtime</w:t>
      </w:r>
      <w:r>
        <w:t xml:space="preserve"> </w:t>
      </w:r>
      <w:r>
        <w:t xml:space="preserve">target: a</w:t>
      </w:r>
      <w:r>
        <w:t xml:space="preserve"> </w:t>
      </w:r>
      <w:r>
        <w:rPr>
          <w:rStyle w:val="VerbatimChar"/>
        </w:rPr>
        <w:t xml:space="preserve">conda</w:t>
      </w:r>
      <w:r>
        <w:t xml:space="preserve">-based install pinned to CUDA 11.1-era package</w:t>
      </w:r>
      <w:r>
        <w:t xml:space="preserve"> </w:t>
      </w:r>
      <w:r>
        <w:t xml:space="preserve">versions for NVIDIA’s SE(3)-Transformer, multi-gigabyte model</w:t>
      </w:r>
      <w:r>
        <w:t xml:space="preserve"> </w:t>
      </w:r>
      <w:r>
        <w:t xml:space="preserve">checkpoints, and per-step inference cost that assumes GPU acceleration</w:t>
      </w:r>
      <w:r>
        <w:t xml:space="preserve"> </w:t>
      </w:r>
      <w:r>
        <w:t xml:space="preserve">throughout. That repository was re-checked directly for this chapter</w:t>
      </w:r>
      <w:r>
        <w:t xml:space="preserve"> </w:t>
      </w:r>
      <w:r>
        <w:t xml:space="preserve">(2026-08-22) and nothing material has changed: the same</w:t>
      </w:r>
      <w:r>
        <w:t xml:space="preserve"> </w:t>
      </w:r>
      <w:r>
        <w:t xml:space="preserve">conda/SE(3)-Transformer installation path, the same GPU-oriented</w:t>
      </w:r>
      <w:r>
        <w:t xml:space="preserve"> </w:t>
      </w:r>
      <w:r>
        <w:t xml:space="preserve">inference cost, still stand. This chapter’s own antibody-specific literature confirms</w:t>
      </w:r>
      <w:r>
        <w:t xml:space="preserve"> </w:t>
      </w:r>
      <w:r>
        <w:t xml:space="preserve">the same constraint applies, if anything more strongly, to real</w:t>
      </w:r>
      <w:r>
        <w:t xml:space="preserve"> </w:t>
      </w:r>
      <w:r>
        <w:t xml:space="preserve">RFdiffusion-based antibody design: Bennett et al. (2026) fine-tune</w:t>
      </w:r>
      <w:r>
        <w:t xml:space="preserve"> </w:t>
      </w:r>
      <w:r>
        <w:t xml:space="preserve">RFdiffusion specifically to generate atomically accurate antibody and</w:t>
      </w:r>
      <w:r>
        <w:t xml:space="preserve"> </w:t>
      </w:r>
      <w:r>
        <w:t xml:space="preserve">nanobody variable domains, including CDR-loop design against a chosen</w:t>
      </w:r>
      <w:r>
        <w:t xml:space="preserve"> </w:t>
      </w:r>
      <w:r>
        <w:t xml:space="preserve">epitope — the real capability the outline’s own</w:t>
      </w:r>
      <w:r>
        <w:t xml:space="preserve"> </w:t>
      </w:r>
      <w:r>
        <w:t xml:space="preserve">“Backbone generation</w:t>
      </w:r>
      <w:r>
        <w:t xml:space="preserve"> </w:t>
      </w:r>
      <w:r>
        <w:t xml:space="preserve">using RFdiffusion”</w:t>
      </w:r>
      <w:r>
        <w:t xml:space="preserve"> </w:t>
      </w:r>
      <w:r>
        <w:t xml:space="preserve">step calls for. Their paper reports a real,</w:t>
      </w:r>
      <w:r>
        <w:t xml:space="preserve"> </w:t>
      </w:r>
      <w:r>
        <w:t xml:space="preserve">disclosed complication specific to antibodies: the usual</w:t>
      </w:r>
      <w:r>
        <w:t xml:space="preserve"> </w:t>
      </w:r>
      <w:r>
        <w:t xml:space="preserve">AlphaFold2-based self-consistency filter other RFdiffusion binder</w:t>
      </w:r>
      <w:r>
        <w:t xml:space="preserve"> </w:t>
      </w:r>
      <w:r>
        <w:t xml:space="preserve">campaigns rely on to enrich for experimental success</w:t>
      </w:r>
      <w:r>
        <w:t xml:space="preserve"> </w:t>
      </w:r>
      <w:r>
        <w:t xml:space="preserve">“fails to accurately predict</w:t>
      </w:r>
      <w:r>
        <w:t xml:space="preserve"> </w:t>
      </w:r>
      <w:r>
        <w:t xml:space="preserve">antibody-antigen structures,”</w:t>
      </w:r>
      <w:r>
        <w:t xml:space="preserve"> </w:t>
      </w:r>
      <w:r>
        <w:t xml:space="preserve">so their real pipeline instead applies a</w:t>
      </w:r>
      <w:r>
        <w:t xml:space="preserve"> </w:t>
      </w:r>
      <w:r>
        <w:t xml:space="preserve">computational pre-filter and then screens designs at real, large scale</w:t>
      </w:r>
      <w:r>
        <w:t xml:space="preserve"> </w:t>
      </w:r>
      <w:r>
        <w:t xml:space="preserve">via wet-lab high-throughput yeast surface display — 9,000 designs per</w:t>
      </w:r>
      <w:r>
        <w:t xml:space="preserve"> </w:t>
      </w:r>
      <w:r>
        <w:t xml:space="preserve">target for several of their real targets, including this chapter’s own</w:t>
      </w:r>
      <w:r>
        <w:t xml:space="preserve"> </w:t>
      </w:r>
      <w:r>
        <w:t xml:space="preserve">SARS-CoV-2 RBD, where their real best hit after that full campaign</w:t>
      </w:r>
      <w:r>
        <w:t xml:space="preserve"> </w:t>
      </w:r>
      <w:r>
        <w:t xml:space="preserve">(VHH_RBD_D4) bound at a modest 5.5 μM by SPR. That real number is</w:t>
      </w:r>
      <w:r>
        <w:t xml:space="preserve"> </w:t>
      </w:r>
      <w:r>
        <w:t xml:space="preserve">itself a useful, honest calibration: Bennett et al.’s (2026) own full,</w:t>
      </w:r>
      <w:r>
        <w:t xml:space="preserve"> </w:t>
      </w:r>
      <w:r>
        <w:t xml:space="preserve">published, wet-lab-scale pipeline against this exact real epitope did</w:t>
      </w:r>
      <w:r>
        <w:t xml:space="preserve"> </w:t>
      </w:r>
      <w:r>
        <w:t xml:space="preserve">not yield a high-affinity binder from raw generation alone either,</w:t>
      </w:r>
      <w:r>
        <w:t xml:space="preserve"> </w:t>
      </w:r>
      <w:r>
        <w:t xml:space="preserve">underscoring that this chapter’s own much narrower goal — redesigning,</w:t>
      </w:r>
      <w:r>
        <w:t xml:space="preserve"> </w:t>
      </w:r>
      <w:r>
        <w:t xml:space="preserve">and rigorously validating, one already-solved nanobody scaffold rather</w:t>
      </w:r>
      <w:r>
        <w:t xml:space="preserve"> </w:t>
      </w:r>
      <w:r>
        <w:t xml:space="preserve">than generating and experimentally screening thousands of novel ones —</w:t>
      </w:r>
      <w:r>
        <w:t xml:space="preserve"> </w:t>
      </w:r>
      <w:r>
        <w:t xml:space="preserve">is a realistic, honestly-scoped substitute given this environment’s</w:t>
      </w:r>
      <w:r>
        <w:t xml:space="preserve"> </w:t>
      </w:r>
      <w:r>
        <w:t xml:space="preserve">real constraints, not a shortcut around a solved problem. Section 17.2</w:t>
      </w:r>
      <w:r>
        <w:t xml:space="preserve"> </w:t>
      </w:r>
      <w:r>
        <w:t xml:space="preserve">therefore covers RFdiffusion’s real antibody-design capability (Section</w:t>
      </w:r>
      <w:r>
        <w:t xml:space="preserve"> </w:t>
      </w:r>
      <w:r>
        <w:t xml:space="preserve">17.2, Stage 2) as theory only, and substitutes a real, already-solved</w:t>
      </w:r>
      <w:r>
        <w:t xml:space="preserve"> </w:t>
      </w:r>
      <w:r>
        <w:t xml:space="preserve">nanobody-antigen backbone — the real substitution strategy already</w:t>
      </w:r>
      <w:r>
        <w:t xml:space="preserve"> </w:t>
      </w:r>
      <w:r>
        <w:t xml:space="preserve">established in Chapter 10 — for the hands-on project, stated explicitly</w:t>
      </w:r>
      <w:r>
        <w:t xml:space="preserve"> </w:t>
      </w:r>
      <w:r>
        <w:t xml:space="preserve">rather than silently worked around.</w:t>
      </w:r>
    </w:p>
    <w:bookmarkEnd w:id="9"/>
    <w:bookmarkStart w:id="15" w:name="pipeline-execution"/>
    <w:p>
      <w:pPr>
        <w:pStyle w:val="Heading2"/>
      </w:pPr>
      <w:r>
        <w:t xml:space="preserve">17.2 Pipeline Execution</w:t>
      </w:r>
    </w:p>
    <w:p>
      <w:pPr>
        <w:pStyle w:val="FirstParagraph"/>
      </w:pPr>
      <w:r>
        <w:t xml:space="preserve">The project code lives in this chapter’s folder</w:t>
      </w:r>
      <w:r>
        <w:t xml:space="preserve"> </w:t>
      </w:r>
      <w:r>
        <w:t xml:space="preserve">(</w:t>
      </w:r>
      <w:r>
        <w:rPr>
          <w:rStyle w:val="VerbatimChar"/>
        </w:rPr>
        <w:t xml:space="preserve">ch17_antibody_design/antibody_design.py</w:t>
      </w:r>
      <w:r>
        <w:t xml:space="preserve">). Five real stages run in</w:t>
      </w:r>
      <w:r>
        <w:t xml:space="preserve"> </w:t>
      </w:r>
      <w:r>
        <w:t xml:space="preserve">sequence, matching the outline’s own five-step pipeline exactly; two of</w:t>
      </w:r>
      <w:r>
        <w:t xml:space="preserve"> </w:t>
      </w:r>
      <w:r>
        <w:t xml:space="preserve">them (Stages 1 and 5) are real methods built from scratch for this</w:t>
      </w:r>
      <w:r>
        <w:t xml:space="preserve"> </w:t>
      </w:r>
      <w:r>
        <w:t xml:space="preserve">chapter rather than reused unchanged from an earlier one.</w:t>
      </w:r>
    </w:p>
    <w:bookmarkStart w:id="10" w:name="Xcec07f65059e1077d603dbb6aa920edc96909dc"/>
    <w:p>
      <w:pPr>
        <w:pStyle w:val="Heading3"/>
      </w:pPr>
      <w:r>
        <w:t xml:space="preserve">17.2.1 Stage 1 — Target binding-site definition &amp; hotspot identification</w:t>
      </w:r>
    </w:p>
    <w:p>
      <w:pPr>
        <w:pStyle w:val="FirstParagraph"/>
      </w:pPr>
      <w:r>
        <w:t xml:space="preserve">Two real, independently solved crystal structures anchor this stage:</w:t>
      </w:r>
      <w:r>
        <w:t xml:space="preserve"> </w:t>
      </w:r>
      <w:r>
        <w:rPr>
          <w:b/>
          <w:bCs/>
        </w:rPr>
        <w:t xml:space="preserve">PDB 6M0J</w:t>
      </w:r>
      <w:r>
        <w:t xml:space="preserve"> </w:t>
      </w:r>
      <w:r>
        <w:t xml:space="preserve">(Lan et al., 2020), the SARS-CoV-2 RBD bound to human</w:t>
      </w:r>
      <w:r>
        <w:t xml:space="preserve"> </w:t>
      </w:r>
      <w:r>
        <w:t xml:space="preserve">ACE2 — this chapter’s own real receptor-epitope reference — and</w:t>
      </w:r>
      <w:r>
        <w:t xml:space="preserve"> </w:t>
      </w:r>
      <w:r>
        <w:rPr>
          <w:b/>
          <w:bCs/>
        </w:rPr>
        <w:t xml:space="preserve">PDB</w:t>
      </w:r>
      <w:r>
        <w:rPr>
          <w:b/>
          <w:bCs/>
        </w:rPr>
        <w:t xml:space="preserve"> </w:t>
      </w:r>
      <w:r>
        <w:rPr>
          <w:b/>
          <w:bCs/>
        </w:rPr>
        <w:t xml:space="preserve">7KGJ</w:t>
      </w:r>
      <w:r>
        <w:t xml:space="preserve"> </w:t>
      </w:r>
      <w:r>
        <w:t xml:space="preserve">(Ahmad et al., 2021), the same RBD bound to a real,</w:t>
      </w:r>
      <w:r>
        <w:t xml:space="preserve"> </w:t>
      </w:r>
      <w:r>
        <w:t xml:space="preserve">experimentally validated synthetic nanobody (</w:t>
      </w:r>
      <w:r>
        <w:t xml:space="preserve">“sybody”</w:t>
      </w:r>
      <w:r>
        <w:t xml:space="preserve">), Sb45, which</w:t>
      </w:r>
      <w:r>
        <w:t xml:space="preserve"> </w:t>
      </w:r>
      <w:r>
        <w:t xml:space="preserve">the original authors report binds the RBD by surface plasmon resonance</w:t>
      </w:r>
      <w:r>
        <w:t xml:space="preserve"> </w:t>
      </w:r>
      <w:r>
        <w:t xml:space="preserve">with a</w:t>
      </w:r>
      <w:r>
        <w:t xml:space="preserve"> </w:t>
      </w:r>
      <m:oMath>
        <m:sSub>
          <m:e>
            <m:r>
              <m:t>K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in the nanomolar range (6.8-62.7 nM across the five</w:t>
      </w:r>
      <w:r>
        <w:t xml:space="preserve"> </w:t>
      </w:r>
      <w:r>
        <w:t xml:space="preserve">sybodies characterized in that study) and buries 976 Å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real,</w:t>
      </w:r>
      <w:r>
        <w:t xml:space="preserve"> </w:t>
      </w:r>
      <w:r>
        <w:t xml:space="preserve">measured interface area — this chapter’s own real starting scaffold</w:t>
      </w:r>
      <w:r>
        <w:t xml:space="preserve"> </w:t>
      </w:r>
      <w:r>
        <w:t xml:space="preserve">for redesign (Section 17.1). Both real RBD chains use the identical,</w:t>
      </w:r>
      <w:r>
        <w:t xml:space="preserve"> </w:t>
      </w:r>
      <w:r>
        <w:t xml:space="preserve">native spike numbering (residues 333-528, confirmed directly: neither</w:t>
      </w:r>
      <w:r>
        <w:t xml:space="preserve"> </w:t>
      </w:r>
      <w:r>
        <w:t xml:space="preserve">chain has an internal gap), so the two structures’ contact footprints</w:t>
      </w:r>
      <w:r>
        <w:t xml:space="preserve"> </w:t>
      </w:r>
      <w:r>
        <w:t xml:space="preserve">are directly, residue-by-residue comparable without any manual</w:t>
      </w:r>
      <w:r>
        <w:t xml:space="preserve"> </w:t>
      </w:r>
      <w:r>
        <w:t xml:space="preserve">alignment step.</w:t>
      </w:r>
    </w:p>
    <w:p>
      <w:pPr>
        <w:pStyle w:val="BodyText"/>
      </w:pPr>
      <w:r>
        <w:rPr>
          <w:rStyle w:val="VerbatimChar"/>
        </w:rPr>
        <w:t xml:space="preserve">stage1_hotspot_identification</w:t>
      </w:r>
      <w:r>
        <w:t xml:space="preserve"> </w:t>
      </w:r>
      <w:r>
        <w:t xml:space="preserve">computes both real epitopes completely</w:t>
      </w:r>
      <w:r>
        <w:t xml:space="preserve"> </w:t>
      </w:r>
      <w:r>
        <w:t xml:space="preserve">independently, from geometry alone — no epitope residue list is</w:t>
      </w:r>
      <w:r>
        <w:t xml:space="preserve"> </w:t>
      </w:r>
      <w:r>
        <w:t xml:space="preserve">transcribed from either paper’s text or figures. A real inter-chain</w:t>
      </w:r>
      <w:r>
        <w:t xml:space="preserve"> </w:t>
      </w:r>
      <w:r>
        <w:t xml:space="preserve">heavy-atom contact is defined, following standard structural-biology</w:t>
      </w:r>
      <w:r>
        <w:t xml:space="preserve"> </w:t>
      </w:r>
      <w:r>
        <w:t xml:space="preserve">convention, as any atom pair within 4.5 Å between chains (via</w:t>
      </w:r>
      <w:r>
        <w:t xml:space="preserve"> </w:t>
      </w:r>
      <w:r>
        <w:t xml:space="preserve">BioPython’s</w:t>
      </w:r>
      <w:r>
        <w:t xml:space="preserve"> </w:t>
      </w:r>
      <w:r>
        <w:rPr>
          <w:rStyle w:val="VerbatimChar"/>
        </w:rPr>
        <w:t xml:space="preserve">NeighborSearch</w:t>
      </w:r>
      <w:r>
        <w:t xml:space="preserve">, restricted to real polypeptide residues —</w:t>
      </w:r>
      <w:r>
        <w:t xml:space="preserve"> </w:t>
      </w:r>
      <w:r>
        <w:t xml:space="preserve">crystallographic waters, deposited on the same chain IDs with residue</w:t>
      </w:r>
      <w:r>
        <w:t xml:space="preserve"> </w:t>
      </w:r>
      <w:r>
        <w:t xml:space="preserve">numbers in the 200s-300s, are explicitly excluded, a real bug this</w:t>
      </w:r>
      <w:r>
        <w:t xml:space="preserve"> </w:t>
      </w:r>
      <w:r>
        <w:t xml:space="preserve">project’s own first run caught immediately: without that exclusion, a</w:t>
      </w:r>
      <w:r>
        <w:t xml:space="preserve"> </w:t>
      </w:r>
      <w:r>
        <w:t xml:space="preserve">water molecule’s PDB residue number was treated as a real</w:t>
      </w:r>
      <w:r>
        <w:t xml:space="preserve"> </w:t>
      </w:r>
      <w:r>
        <w:t xml:space="preserve">“paratope</w:t>
      </w:r>
      <w:r>
        <w:t xml:space="preserve"> </w:t>
      </w:r>
      <w:r>
        <w:t xml:space="preserve">position”</w:t>
      </w:r>
      <w:r>
        <w:t xml:space="preserve"> </w:t>
      </w:r>
      <w:r>
        <w:t xml:space="preserve">outside the nanobody’s actual 1-121 sequence range, crashing</w:t>
      </w:r>
      <w:r>
        <w:t xml:space="preserve"> </w:t>
      </w:r>
      <w:r>
        <w:t xml:space="preserve">the downstream recovery calculation with an out-of-range index):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interface_residue_numbers(contacts, chain_id):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"""Real PDB residue numbers on `chain_id` making at least one real</w:t>
      </w:r>
      <w:r>
        <w:br/>
      </w:r>
      <w:r>
        <w:rPr>
          <w:rStyle w:val="CommentTok"/>
        </w:rPr>
        <w:t xml:space="preserve">    inter-chain contact. Restricted to real amino-acid residues</w:t>
      </w:r>
      <w:r>
        <w:br/>
      </w:r>
      <w:r>
        <w:rPr>
          <w:rStyle w:val="CommentTok"/>
        </w:rPr>
        <w:t xml:space="preserve">    (`id[0] == " "`): both real structures used here carry</w:t>
      </w:r>
      <w:r>
        <w:br/>
      </w:r>
      <w:r>
        <w:rPr>
          <w:rStyle w:val="CommentTok"/>
        </w:rPr>
        <w:t xml:space="preserve">    crystallographic waters (`HOH`) assigned PDB residue numbers on the</w:t>
      </w:r>
      <w:r>
        <w:br/>
      </w:r>
      <w:r>
        <w:rPr>
          <w:rStyle w:val="CommentTok"/>
        </w:rPr>
        <w:t xml:space="preserve">    same chain ID as the polypeptide itself, which would otherwise be</w:t>
      </w:r>
      <w:r>
        <w:br/>
      </w:r>
      <w:r>
        <w:rPr>
          <w:rStyle w:val="CommentTok"/>
        </w:rPr>
        <w:t xml:space="preserve">    counted as fake, out-of-range "hotspot" positions."""</w:t>
      </w:r>
      <w:r>
        <w:br/>
      </w:r>
      <w:r>
        <w:rPr>
          <w:rStyle w:val="NormalTok"/>
        </w:rPr>
        <w:t xml:space="preserve">    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r1, r2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contacts: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(r1, r2):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r.parent.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chain_id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numbers.add(r.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numbers</w:t>
      </w:r>
    </w:p>
    <w:p>
      <w:pPr>
        <w:pStyle w:val="FirstParagraph"/>
      </w:pPr>
      <w:r>
        <w:t xml:space="preserve">Running this against the two real structures gives: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Real structure</w:t>
            </w:r>
          </w:p>
        </w:tc>
        <w:tc>
          <w:tcPr/>
          <w:p>
            <w:pPr>
              <w:pStyle w:val="Compact"/>
            </w:pPr>
            <w:r>
              <w:t xml:space="preserve">Epitope side</w:t>
            </w:r>
          </w:p>
        </w:tc>
        <w:tc>
          <w:tcPr/>
          <w:p>
            <w:pPr>
              <w:pStyle w:val="Compact"/>
            </w:pPr>
            <w:r>
              <w:t xml:space="preserve">Residues in contact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6M0J (RBD-ACE2)</w:t>
            </w:r>
          </w:p>
        </w:tc>
        <w:tc>
          <w:tcPr/>
          <w:p>
            <w:pPr>
              <w:pStyle w:val="Compact"/>
            </w:pPr>
            <w:r>
              <w:t xml:space="preserve">RBD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7KGJ (RBD-Sb45)</w:t>
            </w:r>
          </w:p>
        </w:tc>
        <w:tc>
          <w:tcPr/>
          <w:p>
            <w:pPr>
              <w:pStyle w:val="Compact"/>
            </w:pPr>
            <w:r>
              <w:t xml:space="preserve">RBD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7KGJ (RBD-Sb45)</w:t>
            </w:r>
          </w:p>
        </w:tc>
        <w:tc>
          <w:tcPr/>
          <w:p>
            <w:pPr>
              <w:pStyle w:val="Compact"/>
            </w:pPr>
            <w:r>
              <w:t xml:space="preserve">Sb45 (paratope)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</w:tr>
    </w:tbl>
    <w:p>
      <w:pPr>
        <w:pStyle w:val="BodyText"/>
      </w:pPr>
      <w:r>
        <w:t xml:space="preserve">The real, independently-computed</w:t>
      </w:r>
      <w:r>
        <w:t xml:space="preserve"> </w:t>
      </w:r>
      <w:r>
        <w:rPr>
          <w:b/>
          <w:bCs/>
        </w:rPr>
        <w:t xml:space="preserve">overlap</w:t>
      </w:r>
      <w:r>
        <w:t xml:space="preserve"> </w:t>
      </w:r>
      <w:r>
        <w:t xml:space="preserve">between the ACE2 epitope</w:t>
      </w:r>
      <w:r>
        <w:t xml:space="preserve"> </w:t>
      </w:r>
      <w:r>
        <w:t xml:space="preserve">and the Sb45 epitope is 13 residues —</w:t>
      </w:r>
      <w:r>
        <w:t xml:space="preserve"> </w:t>
      </w:r>
      <w:r>
        <w:rPr>
          <w:b/>
          <w:bCs/>
        </w:rPr>
        <w:t xml:space="preserve">65.0%</w:t>
      </w:r>
      <w:r>
        <w:t xml:space="preserve"> </w:t>
      </w:r>
      <w:r>
        <w:t xml:space="preserve">of the ACE2 epitope and</w:t>
      </w:r>
      <w:r>
        <w:t xml:space="preserve"> </w:t>
      </w:r>
      <w:r>
        <w:rPr>
          <w:b/>
          <w:bCs/>
        </w:rPr>
        <w:t xml:space="preserve">44.8%</w:t>
      </w:r>
      <w:r>
        <w:t xml:space="preserve"> </w:t>
      </w:r>
      <w:r>
        <w:t xml:space="preserve">of the Sb45 epitope — including real, well-known</w:t>
      </w:r>
      <w:r>
        <w:t xml:space="preserve"> </w:t>
      </w:r>
      <w:r>
        <w:t xml:space="preserve">ACE2-contacting positions such as F486, Q493, Q498, and N501 (Lan et</w:t>
      </w:r>
      <w:r>
        <w:t xml:space="preserve"> </w:t>
      </w:r>
      <w:r>
        <w:t xml:space="preserve">al., 2020). This is a real, quantitative confirmation, computed from</w:t>
      </w:r>
      <w:r>
        <w:t xml:space="preserve"> </w:t>
      </w:r>
      <w:r>
        <w:t xml:space="preserve">scratch rather than read off either paper, of Ahmad et al.’s (2021) own</w:t>
      </w:r>
      <w:r>
        <w:t xml:space="preserve"> </w:t>
      </w:r>
      <w:r>
        <w:t xml:space="preserve">qualitative structural finding that Sb45 is</w:t>
      </w:r>
      <w:r>
        <w:t xml:space="preserve"> </w:t>
      </w:r>
      <w:r>
        <w:t xml:space="preserve">“partially buried”</w:t>
      </w:r>
      <w:r>
        <w:t xml:space="preserve"> </w:t>
      </w:r>
      <w:r>
        <w:t xml:space="preserve">in the</w:t>
      </w:r>
      <w:r>
        <w:t xml:space="preserve"> </w:t>
      </w:r>
      <w:r>
        <w:t xml:space="preserve">ACE2 footprint (their Figure 4C) rather than either fully coincident</w:t>
      </w:r>
      <w:r>
        <w:t xml:space="preserve"> </w:t>
      </w:r>
      <w:r>
        <w:t xml:space="preserve">with it or entirely separate — a substantial, real steric overlap</w:t>
      </w:r>
      <w:r>
        <w:t xml:space="preserve"> </w:t>
      </w:r>
      <w:r>
        <w:t xml:space="preserve">consistent with the real, measured ACE2-blocking neutralization</w:t>
      </w:r>
      <w:r>
        <w:t xml:space="preserve"> </w:t>
      </w:r>
      <w:r>
        <w:t xml:space="preserve">activity Sb45 itself shows, but not a perfect epitope match, which the</w:t>
      </w:r>
      <w:r>
        <w:t xml:space="preserve"> </w:t>
      </w:r>
      <w:r>
        <w:t xml:space="preserve">real geometry computed here shows directly. The real, geometrically-derived</w:t>
      </w:r>
      <w:r>
        <w:t xml:space="preserve"> </w:t>
      </w:r>
      <w:r>
        <w:t xml:space="preserve">Sb45 paratope (27 residues) is this chapter’s own hotspot definition</w:t>
      </w:r>
      <w:r>
        <w:t xml:space="preserve"> </w:t>
      </w:r>
      <w:r>
        <w:t xml:space="preserve">for the recovery analysis in Stage 3 below — not a CDR-loop boundary</w:t>
      </w:r>
      <w:r>
        <w:t xml:space="preserve"> </w:t>
      </w:r>
      <w:r>
        <w:t xml:space="preserve">transcribed from a sequence-alignment convention, but every residue</w:t>
      </w:r>
      <w:r>
        <w:t xml:space="preserve"> </w:t>
      </w:r>
      <w:r>
        <w:t xml:space="preserve">this specific real structure shows actually touching the antigen.</w:t>
      </w:r>
    </w:p>
    <w:bookmarkEnd w:id="10"/>
    <w:bookmarkStart w:id="11" w:name="X59bb56f2a5248ceac84cd3da48f0ba410dc4497"/>
    <w:p>
      <w:pPr>
        <w:pStyle w:val="Heading3"/>
      </w:pPr>
      <w:r>
        <w:t xml:space="preserve">17.2.2 Stage 2 — Backbone source (RFdiffusion: theory; real substitute: hands-on)</w:t>
      </w:r>
    </w:p>
    <w:p>
      <w:pPr>
        <w:pStyle w:val="FirstParagraph"/>
      </w:pPr>
      <w:r>
        <w:t xml:space="preserve">As Section 17.1 details, no RFdiffusion-generated backbone is produced</w:t>
      </w:r>
      <w:r>
        <w:t xml:space="preserve"> </w:t>
      </w:r>
      <w:r>
        <w:t xml:space="preserve">in this environment. Bennett et al. (2026) show RFdiffusion can</w:t>
      </w:r>
      <w:r>
        <w:t xml:space="preserve"> </w:t>
      </w:r>
      <w:r>
        <w:t xml:space="preserve">condition antibody/nanobody backbone generation directly on a chosen</w:t>
      </w:r>
      <w:r>
        <w:t xml:space="preserve"> </w:t>
      </w:r>
      <w:r>
        <w:t xml:space="preserve">epitope — the real generative step the outline’s</w:t>
      </w:r>
      <w:r>
        <w:t xml:space="preserve"> </w:t>
      </w:r>
      <w:r>
        <w:t xml:space="preserve">“Backbone generation</w:t>
      </w:r>
      <w:r>
        <w:t xml:space="preserve"> </w:t>
      </w:r>
      <w:r>
        <w:t xml:space="preserve">using RFdiffusion”</w:t>
      </w:r>
      <w:r>
        <w:t xml:space="preserve"> </w:t>
      </w:r>
      <w:r>
        <w:t xml:space="preserve">calls for — extending the same</w:t>
      </w:r>
      <w:r>
        <w:t xml:space="preserve"> </w:t>
      </w:r>
      <m:oMath>
        <m:r>
          <m:t>S</m:t>
        </m:r>
        <m:r>
          <m:t>E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rigid-frame</w:t>
      </w:r>
      <w:r>
        <w:t xml:space="preserve"> </w:t>
      </w:r>
      <w:r>
        <w:t xml:space="preserve">diffusion process Chapter 10 §10.1 described for general protein</w:t>
      </w:r>
      <w:r>
        <w:t xml:space="preserve"> </w:t>
      </w:r>
      <w:r>
        <w:t xml:space="preserve">backbones to the antibody-specific geometry of a conserved</w:t>
      </w:r>
      <w:r>
        <w:t xml:space="preserve"> </w:t>
      </w:r>
      <w:r>
        <w:t xml:space="preserve">immunoglobulin scaffold with hypervariable CDR loops (Chapter 10 §10.3</w:t>
      </w:r>
      <w:r>
        <w:t xml:space="preserve"> </w:t>
      </w:r>
      <w:r>
        <w:t xml:space="preserve">already previewed this specific extension via Cutting et al.’s (2025)</w:t>
      </w:r>
      <w:r>
        <w:t xml:space="preserve"> </w:t>
      </w:r>
      <w:r>
        <w:t xml:space="preserve">unrelated</w:t>
      </w:r>
      <w:r>
        <w:t xml:space="preserve"> </w:t>
      </w:r>
      <m:oMath>
        <m:r>
          <m:t>S</m:t>
        </m:r>
        <m:r>
          <m:t>E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-diffusion antibody model). This chapter’s real Stage</w:t>
      </w:r>
      <w:r>
        <w:t xml:space="preserve"> </w:t>
      </w:r>
      <w:r>
        <w:t xml:space="preserve">3 instead redesigns the sequence of an</w:t>
      </w:r>
      <w:r>
        <w:t xml:space="preserve"> </w:t>
      </w:r>
      <w:r>
        <w:rPr>
          <w:b/>
          <w:bCs/>
        </w:rPr>
        <w:t xml:space="preserve">already-generated, real,</w:t>
      </w:r>
      <w:r>
        <w:rPr>
          <w:b/>
          <w:bCs/>
        </w:rPr>
        <w:t xml:space="preserve"> </w:t>
      </w:r>
      <w:r>
        <w:rPr>
          <w:b/>
          <w:bCs/>
        </w:rPr>
        <w:t xml:space="preserve">crystallized backbone</w:t>
      </w:r>
      <w:r>
        <w:t xml:space="preserve"> </w:t>
      </w:r>
      <w:r>
        <w:t xml:space="preserve">— the real Sb45 chain from PDB 7KGJ — the</w:t>
      </w:r>
      <w:r>
        <w:t xml:space="preserve"> </w:t>
      </w:r>
      <w:r>
        <w:t xml:space="preserve">same real substitution strategy Chapter 10 already established</w:t>
      </w:r>
      <w:r>
        <w:t xml:space="preserve"> </w:t>
      </w:r>
      <w:r>
        <w:t xml:space="preserve">(starting from real, already-solved backbones rather than RFdiffusion</w:t>
      </w:r>
      <w:r>
        <w:t xml:space="preserve"> </w:t>
      </w:r>
      <w:r>
        <w:t xml:space="preserve">output) reused directly here, with the</w:t>
      </w:r>
      <w:r>
        <w:t xml:space="preserve"> </w:t>
      </w:r>
      <w:r>
        <w:t xml:space="preserve">real distinction that Chapter 10 designed a whole protein or a short</w:t>
      </w:r>
      <w:r>
        <w:t xml:space="preserve"> </w:t>
      </w:r>
      <w:r>
        <w:t xml:space="preserve">linear peptide, while this chapter redesigns one full chain of a real</w:t>
      </w:r>
      <w:r>
        <w:t xml:space="preserve"> </w:t>
      </w:r>
      <w:r>
        <w:t xml:space="preserve">antibody-antigen complex.</w:t>
      </w:r>
    </w:p>
    <w:bookmarkEnd w:id="11"/>
    <w:bookmarkStart w:id="12" w:name="X225893a3afda4fa0d26ce9af8345ea36f675faa"/>
    <w:p>
      <w:pPr>
        <w:pStyle w:val="Heading3"/>
      </w:pPr>
      <w:r>
        <w:t xml:space="preserve">17.2.3 Stage 3 — Sequence optimization with ProteinMPNN</w:t>
      </w:r>
    </w:p>
    <w:p>
      <w:pPr>
        <w:pStyle w:val="FirstParagraph"/>
      </w:pPr>
      <w:r>
        <w:rPr>
          <w:rStyle w:val="VerbatimChar"/>
        </w:rPr>
        <w:t xml:space="preserve">design_nanobody_sequences</w:t>
      </w:r>
      <w:r>
        <w:t xml:space="preserve"> </w:t>
      </w:r>
      <w:r>
        <w:t xml:space="preserve">is the real ProteinMPNN wrapper Chapter 10</w:t>
      </w:r>
      <w:r>
        <w:t xml:space="preserve"> </w:t>
      </w:r>
      <w:r>
        <w:t xml:space="preserve">already built (the real, official model architecture and the real, unmodified</w:t>
      </w:r>
      <w:r>
        <w:t xml:space="preserve"> </w:t>
      </w:r>
      <w:r>
        <w:rPr>
          <w:rStyle w:val="VerbatimChar"/>
        </w:rPr>
        <w:t xml:space="preserve">v_48_020</w:t>
      </w:r>
      <w:r>
        <w:t xml:space="preserve"> </w:t>
      </w:r>
      <w:r>
        <w:t xml:space="preserve">pretrained checkpoint, vendored fresh into this chapter’s own</w:t>
      </w:r>
      <w:r>
        <w:t xml:space="preserve"> </w:t>
      </w:r>
      <w:r>
        <w:t xml:space="preserve">folder per this book’s per-chapter self-containment convention),</w:t>
      </w:r>
      <w:r>
        <w:t xml:space="preserve"> </w:t>
      </w:r>
      <w:r>
        <w:t xml:space="preserve">applied here to redesign the entire real Sb45 chain (chain B, 121</w:t>
      </w:r>
      <w:r>
        <w:t xml:space="preserve"> </w:t>
      </w:r>
      <w:r>
        <w:t xml:space="preserve">residues) with the real RBD (chain A, 196 residues) held fixed as</w:t>
      </w:r>
      <w:r>
        <w:t xml:space="preserve"> </w:t>
      </w:r>
      <w:r>
        <w:t xml:space="preserve">structural context — the same officially supported multi-chain</w:t>
      </w:r>
      <w:r>
        <w:t xml:space="preserve"> </w:t>
      </w:r>
      <w:r>
        <w:t xml:space="preserve">“which chains to design”</w:t>
      </w:r>
      <w:r>
        <w:t xml:space="preserve"> </w:t>
      </w:r>
      <w:r>
        <w:t xml:space="preserve">mechanism used by Experiment 2 in Chapter 10</w:t>
      </w:r>
      <w:r>
        <w:t xml:space="preserve"> </w:t>
      </w:r>
      <w:r>
        <w:t xml:space="preserve">§10.4, there applied to the much shorter 13-residue p53 peptide.</w:t>
      </w:r>
    </w:p>
    <w:p>
      <w:pPr>
        <w:pStyle w:val="BodyText"/>
      </w:pPr>
      <w:r>
        <w:t xml:space="preserve">Redesigning all 121 positions of the real Sb45 backbone at three</w:t>
      </w:r>
      <w:r>
        <w:t xml:space="preserve"> </w:t>
      </w:r>
      <w:r>
        <w:t xml:space="preserve">sampling temperatures (5 independent samples each, the same</w:t>
      </w:r>
      <w:r>
        <w:t xml:space="preserve"> </w:t>
      </w:r>
      <w:r>
        <w:t xml:space="preserve">parameter-sweep convention Chapters 8-10 already established),</w:t>
      </w:r>
      <w:r>
        <w:t xml:space="preserve"> </w:t>
      </w:r>
      <w:r>
        <w:t xml:space="preserve">native-sequence recovery against the real</w:t>
      </w:r>
      <w:r>
        <w:t xml:space="preserve"> </w:t>
      </w:r>
      <w:r>
        <w:t xml:space="preserve">wild-type Sb45 sequence came out as follows: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Temperature</w:t>
            </w:r>
          </w:p>
        </w:tc>
        <w:tc>
          <w:tcPr/>
          <w:p>
            <w:pPr>
              <w:pStyle w:val="Compact"/>
            </w:pPr>
            <w:r>
              <w:t xml:space="preserve">Mean recovery</w:t>
            </w:r>
          </w:p>
        </w:tc>
        <w:tc>
          <w:tcPr/>
          <w:p>
            <w:pPr>
              <w:pStyle w:val="Compact"/>
            </w:pPr>
            <w:r>
              <w:t xml:space="preserve">Std (n=5)</w:t>
            </w:r>
          </w:p>
        </w:tc>
        <w:tc>
          <w:tcPr/>
          <w:p>
            <w:pPr>
              <w:pStyle w:val="Compact"/>
            </w:pPr>
            <w:r>
              <w:t xml:space="preserve">Paratope recovery</w:t>
            </w:r>
          </w:p>
        </w:tc>
        <w:tc>
          <w:tcPr/>
          <w:p>
            <w:pPr>
              <w:pStyle w:val="Compact"/>
            </w:pPr>
            <w:r>
              <w:t xml:space="preserve">Framework 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56.9%</w:t>
            </w:r>
          </w:p>
        </w:tc>
        <w:tc>
          <w:tcPr/>
          <w:p>
            <w:pPr>
              <w:pStyle w:val="Compact"/>
            </w:pPr>
            <w:r>
              <w:t xml:space="preserve">2.1%</w:t>
            </w:r>
          </w:p>
        </w:tc>
        <w:tc>
          <w:tcPr/>
          <w:p>
            <w:pPr>
              <w:pStyle w:val="Compact"/>
            </w:pPr>
            <w:r>
              <w:t xml:space="preserve">39.3%</w:t>
            </w:r>
          </w:p>
        </w:tc>
        <w:tc>
          <w:tcPr/>
          <w:p>
            <w:pPr>
              <w:pStyle w:val="Compact"/>
            </w:pPr>
            <w:r>
              <w:t xml:space="preserve">61.9%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56.2%</w:t>
            </w:r>
          </w:p>
        </w:tc>
        <w:tc>
          <w:tcPr/>
          <w:p>
            <w:pPr>
              <w:pStyle w:val="Compact"/>
            </w:pPr>
            <w:r>
              <w:t xml:space="preserve">1.6%</w:t>
            </w:r>
          </w:p>
        </w:tc>
        <w:tc>
          <w:tcPr/>
          <w:p>
            <w:pPr>
              <w:pStyle w:val="Compact"/>
            </w:pPr>
            <w:r>
              <w:t xml:space="preserve">36.3%</w:t>
            </w:r>
          </w:p>
        </w:tc>
        <w:tc>
          <w:tcPr/>
          <w:p>
            <w:pPr>
              <w:pStyle w:val="Compact"/>
            </w:pPr>
            <w:r>
              <w:t xml:space="preserve">61.9%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56.0%</w:t>
            </w:r>
          </w:p>
        </w:tc>
        <w:tc>
          <w:tcPr/>
          <w:p>
            <w:pPr>
              <w:pStyle w:val="Compact"/>
            </w:pPr>
            <w:r>
              <w:t xml:space="preserve">2.8%</w:t>
            </w:r>
          </w:p>
        </w:tc>
        <w:tc>
          <w:tcPr/>
          <w:p>
            <w:pPr>
              <w:pStyle w:val="Compact"/>
            </w:pPr>
            <w:r>
              <w:t xml:space="preserve">34.1%</w:t>
            </w:r>
          </w:p>
        </w:tc>
        <w:tc>
          <w:tcPr/>
          <w:p>
            <w:pPr>
              <w:pStyle w:val="Compact"/>
            </w:pPr>
            <w:r>
              <w:t xml:space="preserve">62.3%</w:t>
            </w:r>
          </w:p>
        </w:tc>
      </w:tr>
    </w:tbl>
    <w:p>
      <w:pPr>
        <w:pStyle w:val="BodyText"/>
      </w:pPr>
      <w:r>
        <w:t xml:space="preserve">Overall recovery (56.0-56.9%) again lands close to — and here,</w:t>
      </w:r>
      <w:r>
        <w:t xml:space="preserve"> </w:t>
      </w:r>
      <w:r>
        <w:t xml:space="preserve">slightly above — the published 52.4% cross-benchmark average from</w:t>
      </w:r>
      <w:r>
        <w:t xml:space="preserve"> </w:t>
      </w:r>
      <w:r>
        <w:t xml:space="preserve">Dauparas et al. (2022) (Chapter 10 §10.2), consistent with the finding</w:t>
      </w:r>
      <w:r>
        <w:t xml:space="preserve"> </w:t>
      </w:r>
      <w:r>
        <w:t xml:space="preserve">Chapter 10 already reported on a different real backbone.</w:t>
      </w:r>
    </w:p>
    <w:p>
      <w:pPr>
        <w:pStyle w:val="BodyText"/>
      </w:pPr>
      <w:r>
        <w:rPr>
          <w:b/>
          <w:bCs/>
        </w:rPr>
        <w:t xml:space="preserve">The paratope-vs-framework split, however, runs in the opposite</w:t>
      </w:r>
      <w:r>
        <w:rPr>
          <w:b/>
          <w:bCs/>
        </w:rPr>
        <w:t xml:space="preserve"> </w:t>
      </w:r>
      <w:r>
        <w:rPr>
          <w:b/>
          <w:bCs/>
        </w:rPr>
        <w:t xml:space="preserve">direction from the finding Chapter 10 already reported, and this is</w:t>
      </w:r>
      <w:r>
        <w:rPr>
          <w:b/>
          <w:bCs/>
        </w:rPr>
        <w:t xml:space="preserve"> </w:t>
      </w:r>
      <w:r>
        <w:rPr>
          <w:b/>
          <w:bCs/>
        </w:rPr>
        <w:t xml:space="preserve">worth reading precisely.</w:t>
      </w:r>
      <w:r>
        <w:t xml:space="preserve"> </w:t>
      </w:r>
      <w:r>
        <w:t xml:space="preserve">The MDM2-p53 experiment in Chapter 10 §10.4</w:t>
      </w:r>
      <w:r>
        <w:t xml:space="preserve"> </w:t>
      </w:r>
      <w:r>
        <w:t xml:space="preserve">found its three</w:t>
      </w:r>
      <w:r>
        <w:t xml:space="preserve"> </w:t>
      </w:r>
      <w:r>
        <w:t xml:space="preserve">real hot-spot residues recovered at</w:t>
      </w:r>
      <w:r>
        <w:t xml:space="preserve"> </w:t>
      </w:r>
      <w:r>
        <w:rPr>
          <w:b/>
          <w:bCs/>
        </w:rPr>
        <w:t xml:space="preserve">100%</w:t>
      </w:r>
      <w:r>
        <w:t xml:space="preserve"> </w:t>
      </w:r>
      <w:r>
        <w:t xml:space="preserve">against a 38.0%</w:t>
      </w:r>
      <w:r>
        <w:t xml:space="preserve"> </w:t>
      </w:r>
      <w:r>
        <w:t xml:space="preserve">non-hot-spot average — hot-spot recovery</w:t>
      </w:r>
      <w:r>
        <w:t xml:space="preserve"> </w:t>
      </w:r>
      <w:r>
        <w:rPr>
          <w:i/>
          <w:iCs/>
        </w:rPr>
        <w:t xml:space="preserve">far exceeding</w:t>
      </w:r>
      <w:r>
        <w:t xml:space="preserve"> </w:t>
      </w:r>
      <w:r>
        <w:t xml:space="preserve">the</w:t>
      </w:r>
      <w:r>
        <w:t xml:space="preserve"> </w:t>
      </w:r>
      <w:r>
        <w:t xml:space="preserve">background rate. Here, the real, geometrically-defined 27-residue Sb45</w:t>
      </w:r>
      <w:r>
        <w:t xml:space="preserve"> </w:t>
      </w:r>
      <w:r>
        <w:t xml:space="preserve">paratope recovers at only 34-39% across all three temperatures, while</w:t>
      </w:r>
      <w:r>
        <w:t xml:space="preserve"> </w:t>
      </w:r>
      <w:r>
        <w:t xml:space="preserve">the 94 real framework (non-paratope) positions recover at a</w:t>
      </w:r>
      <w:r>
        <w:t xml:space="preserve"> </w:t>
      </w:r>
      <w:r>
        <w:t xml:space="preserve">consistently higher 61.9-62.3%. Both results are real and both are</w:t>
      </w:r>
      <w:r>
        <w:t xml:space="preserve"> </w:t>
      </w:r>
      <w:r>
        <w:t xml:space="preserve">consistent with the same underlying mechanism, applied to two</w:t>
      </w:r>
      <w:r>
        <w:t xml:space="preserve"> </w:t>
      </w:r>
      <w:r>
        <w:t xml:space="preserve">structurally different situations. The hot spot Chapter 10 studied was</w:t>
      </w:r>
      <w:r>
        <w:t xml:space="preserve"> </w:t>
      </w:r>
      <w:r>
        <w:t xml:space="preserve">three individual side chains making deeply buried, shape-complementary</w:t>
      </w:r>
      <w:r>
        <w:t xml:space="preserve"> </w:t>
      </w:r>
      <w:r>
        <w:t xml:space="preserve">contacts in a narrow cleft — positions so geometrically constrained</w:t>
      </w:r>
      <w:r>
        <w:t xml:space="preserve"> </w:t>
      </w:r>
      <w:r>
        <w:t xml:space="preserve">that almost no other residue identity fits. This chapter’s paratope is</w:t>
      </w:r>
      <w:r>
        <w:t xml:space="preserve"> </w:t>
      </w:r>
      <w:r>
        <w:t xml:space="preserve">an entire nanobody CDR-loop surface: by construction, every residue in</w:t>
      </w:r>
      <w:r>
        <w:t xml:space="preserve"> </w:t>
      </w:r>
      <w:r>
        <w:t xml:space="preserve">it faces outward toward solvent or antigen rather than packing against</w:t>
      </w:r>
      <w:r>
        <w:t xml:space="preserve"> </w:t>
      </w:r>
      <w:r>
        <w:t xml:space="preserve">the nanobody’s own hydrophobic core, and ProteinMPNN — like</w:t>
      </w:r>
      <w:r>
        <w:t xml:space="preserve"> </w:t>
      </w:r>
      <w:r>
        <w:t xml:space="preserve">inverse-folding methods generally (Dauparas et al., 2022 report</w:t>
      </w:r>
      <w:r>
        <w:t xml:space="preserve"> </w:t>
      </w:r>
      <w:r>
        <w:t xml:space="preserve">substantially lower per-residue recovery at solvent-exposed positions</w:t>
      </w:r>
      <w:r>
        <w:t xml:space="preserve"> </w:t>
      </w:r>
      <w:r>
        <w:t xml:space="preserve">than buried ones across their full benchmark) — has comparatively</w:t>
      </w:r>
      <w:r>
        <w:t xml:space="preserve"> </w:t>
      </w:r>
      <w:r>
        <w:t xml:space="preserve">little backbone-geometric signal to constrain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surface-facing</w:t>
      </w:r>
      <w:r>
        <w:t xml:space="preserve"> </w:t>
      </w:r>
      <w:r>
        <w:t xml:space="preserve">side chain goes where, since many different residues are sterically</w:t>
      </w:r>
      <w:r>
        <w:t xml:space="preserve"> </w:t>
      </w:r>
      <w:r>
        <w:t xml:space="preserve">compatible with an</w:t>
      </w:r>
      <w:r>
        <w:t xml:space="preserve"> </w:t>
      </w:r>
      <w:r>
        <w:t xml:space="preserve">exposed position. The real framework positions recovered here include</w:t>
      </w:r>
      <w:r>
        <w:t xml:space="preserve"> </w:t>
      </w:r>
      <w:r>
        <w:t xml:space="preserve">this chain’s own buried structural core (the conserved immunoglobulin</w:t>
      </w:r>
      <w:r>
        <w:t xml:space="preserve"> </w:t>
      </w:r>
      <w:r>
        <w:t xml:space="preserve">fold’s hydrophobic-core residues, shared across most VHH domains),</w:t>
      </w:r>
      <w:r>
        <w:t xml:space="preserve"> </w:t>
      </w:r>
      <w:r>
        <w:t xml:space="preserve">which is exactly the class of position that the core-adjacent</w:t>
      </w:r>
      <w:r>
        <w:t xml:space="preserve"> </w:t>
      </w:r>
      <w:r>
        <w:t xml:space="preserve">observations already made in Chapter 10, and the published stratified</w:t>
      </w:r>
      <w:r>
        <w:t xml:space="preserve"> </w:t>
      </w:r>
      <w:r>
        <w:t xml:space="preserve">results of Dauparas et al. (2022), predict should recover well. The two</w:t>
      </w:r>
      <w:r>
        <w:t xml:space="preserve"> </w:t>
      </w:r>
      <w:r>
        <w:t xml:space="preserve">chapters’ hot-spot</w:t>
      </w:r>
      <w:r>
        <w:t xml:space="preserve"> </w:t>
      </w:r>
      <w:r>
        <w:t xml:space="preserve">results are therefore not in tension: they show the same real</w:t>
      </w:r>
      <w:r>
        <w:t xml:space="preserve"> </w:t>
      </w:r>
      <w:r>
        <w:t xml:space="preserve">phenomenon — recovery tracks structural constraint, not any privileged</w:t>
      </w:r>
      <w:r>
        <w:t xml:space="preserve"> </w:t>
      </w:r>
      <w:r>
        <w:t xml:space="preserve">status of</w:t>
      </w:r>
      <w:r>
        <w:t xml:space="preserve"> </w:t>
      </w:r>
      <w:r>
        <w:t xml:space="preserve">“the interface”</w:t>
      </w:r>
      <w:r>
        <w:t xml:space="preserve"> </w:t>
      </w:r>
      <w:r>
        <w:t xml:space="preserve">as such — from two different structural</w:t>
      </w:r>
      <w:r>
        <w:t xml:space="preserve"> </w:t>
      </w:r>
      <w:r>
        <w:t xml:space="preserve">vantage points, one where the interface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constraint (a few</w:t>
      </w:r>
      <w:r>
        <w:t xml:space="preserve"> </w:t>
      </w:r>
      <w:r>
        <w:t xml:space="preserve">deeply buried contacts) and one where the interface is comparatively</w:t>
      </w:r>
      <w:r>
        <w:t xml:space="preserve"> </w:t>
      </w:r>
      <w:r>
        <w:rPr>
          <w:i/>
          <w:iCs/>
        </w:rPr>
        <w:t xml:space="preserve">unconstrained</w:t>
      </w:r>
      <w:r>
        <w:t xml:space="preserve"> </w:t>
      </w:r>
      <w:r>
        <w:t xml:space="preserve">(an exposed CDR-loop surface) relative to the chain’s</w:t>
      </w:r>
      <w:r>
        <w:t xml:space="preserve"> </w:t>
      </w:r>
      <w:r>
        <w:t xml:space="preserve">own buried core.</w:t>
      </w:r>
    </w:p>
    <w:bookmarkEnd w:id="12"/>
    <w:bookmarkStart w:id="13" w:name="Xe78feac1e4658c50e8e7098a2da23a9a237188b"/>
    <w:p>
      <w:pPr>
        <w:pStyle w:val="Heading3"/>
      </w:pPr>
      <w:r>
        <w:t xml:space="preserve">17.2.4 Stage 4 — 3D validation: ESMFold (real); AlphaFold3 (theory)</w:t>
      </w:r>
    </w:p>
    <w:p>
      <w:pPr>
        <w:pStyle w:val="FirstParagraph"/>
      </w:pPr>
      <w:r>
        <w:rPr>
          <w:b/>
          <w:bCs/>
        </w:rPr>
        <w:t xml:space="preserve">AlphaFold3</w:t>
      </w:r>
      <w:r>
        <w:t xml:space="preserve"> </w:t>
      </w:r>
      <w:r>
        <w:t xml:space="preserve">(Abramson et al., 2024; Chapter 9 §9.1) replaces</w:t>
      </w:r>
      <w:r>
        <w:t xml:space="preserve"> </w:t>
      </w:r>
      <w:r>
        <w:t xml:space="preserve">the structure module of AlphaFold2 with a diffusion process operating</w:t>
      </w:r>
      <w:r>
        <w:t xml:space="preserve"> </w:t>
      </w:r>
      <w:r>
        <w:t xml:space="preserve">directly over atom coordinates and, unlike AlphaFold2/ESMFold, natively</w:t>
      </w:r>
      <w:r>
        <w:t xml:space="preserve"> </w:t>
      </w:r>
      <w:r>
        <w:t xml:space="preserve">predicts protein-protein and protein-antigen</w:t>
      </w:r>
      <w:r>
        <w:t xml:space="preserve"> </w:t>
      </w:r>
      <w:r>
        <w:rPr>
          <w:i/>
          <w:iCs/>
        </w:rPr>
        <w:t xml:space="preserve">complexes</w:t>
      </w:r>
      <w:r>
        <w:t xml:space="preserve"> </w:t>
      </w:r>
      <w:r>
        <w:t xml:space="preserve">rather than</w:t>
      </w:r>
      <w:r>
        <w:t xml:space="preserve"> </w:t>
      </w:r>
      <w:r>
        <w:t xml:space="preserve">single chains — in principle the more directly relevant validation</w:t>
      </w:r>
      <w:r>
        <w:t xml:space="preserve"> </w:t>
      </w:r>
      <w:r>
        <w:t xml:space="preserve">tool for this chapter’s own antibody-antigen redesign. It is discussed</w:t>
      </w:r>
      <w:r>
        <w:t xml:space="preserve"> </w:t>
      </w:r>
      <w:r>
        <w:t xml:space="preserve">here as theory only, for the same real reason Chapter 9 §9.4 gives:</w:t>
      </w:r>
      <w:r>
        <w:t xml:space="preserve"> </w:t>
      </w:r>
      <w:r>
        <w:t xml:space="preserve">DeepMind has not released the model weights for AlphaFold3, and the official</w:t>
      </w:r>
      <w:r>
        <w:t xml:space="preserve"> </w:t>
      </w:r>
      <w:r>
        <w:t xml:space="preserve">AlphaFold Server is a browser-only, manually-submitted, non-commercial</w:t>
      </w:r>
      <w:r>
        <w:t xml:space="preserve"> </w:t>
      </w:r>
      <w:r>
        <w:t xml:space="preserve">research tool with no free, scriptable bulk-inference API — a</w:t>
      </w:r>
      <w:r>
        <w:t xml:space="preserve"> </w:t>
      </w:r>
      <w:r>
        <w:t xml:space="preserve">different, and here more restrictive, constraint than ESMFold’s own</w:t>
      </w:r>
      <w:r>
        <w:t xml:space="preserve"> </w:t>
      </w:r>
      <w:r>
        <w:t xml:space="preserve">public API endpoint.</w:t>
      </w:r>
    </w:p>
    <w:p>
      <w:pPr>
        <w:pStyle w:val="BodyText"/>
      </w:pPr>
      <w:r>
        <w:rPr>
          <w:b/>
          <w:bCs/>
        </w:rPr>
        <w:t xml:space="preserve">ESMFold</w:t>
      </w:r>
      <w:r>
        <w:t xml:space="preserve"> </w:t>
      </w:r>
      <w:r>
        <w:t xml:space="preserve">(Lin et al., 2023; Chapter 9 §9.2, reused verbatim via the</w:t>
      </w:r>
      <w:r>
        <w:t xml:space="preserve"> </w:t>
      </w:r>
      <w:r>
        <w:t xml:space="preserve">live ESM Metagenomic Atlas API) folds single chains, so this chapter’s</w:t>
      </w:r>
      <w:r>
        <w:t xml:space="preserve"> </w:t>
      </w:r>
      <w:r>
        <w:t xml:space="preserve">real validation checks structural self-consistency the same way</w:t>
      </w:r>
      <w:r>
        <w:t xml:space="preserve"> </w:t>
      </w:r>
      <w:r>
        <w:t xml:space="preserve">Chapter 10 §10.4 did: does the redesigned sequence, folded in</w:t>
      </w:r>
      <w:r>
        <w:t xml:space="preserve"> </w:t>
      </w:r>
      <w:r>
        <w:t xml:space="preserve">isolation, land back near the real backbone ProteinMPNN conditioned on?</w:t>
      </w:r>
      <w:r>
        <w:t xml:space="preserve"> </w:t>
      </w:r>
      <w:r>
        <w:t xml:space="preserve">As a positive control, the real native Sb45 sequence was folded first,</w:t>
      </w:r>
      <w:r>
        <w:t xml:space="preserve"> </w:t>
      </w:r>
      <w:r>
        <w:t xml:space="preserve">landing at</w:t>
      </w:r>
      <w:r>
        <w:t xml:space="preserve"> </w:t>
      </w:r>
      <w:r>
        <w:rPr>
          <w:b/>
          <w:bCs/>
        </w:rPr>
        <w:t xml:space="preserve">1.393 Å</w:t>
      </w:r>
      <w:r>
        <w:t xml:space="preserve"> </w:t>
      </w:r>
      <w:r>
        <w:t xml:space="preserve">Cα RMSD (121 residues compared) against the real</w:t>
      </w:r>
      <w:r>
        <w:t xml:space="preserve"> </w:t>
      </w:r>
      <w:r>
        <w:t xml:space="preserve">7KGJ chain B backbone. The best redesigned sequence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—</w:t>
      </w:r>
    </w:p>
    <w:p>
      <w:pPr>
        <w:pStyle w:val="SourceCode"/>
      </w:pPr>
      <w:r>
        <w:rPr>
          <w:rStyle w:val="VerbatimChar"/>
        </w:rPr>
        <w:t xml:space="preserve">SISLTESGGGTVPAGGSTTLTCQLSGAPVNTAQMSWWRQAPGQEREWVASIHSAGKKTRYHPDVKGRFTIS</w:t>
      </w:r>
      <w:r>
        <w:br/>
      </w:r>
      <w:r>
        <w:rPr>
          <w:rStyle w:val="VerbatimChar"/>
        </w:rPr>
        <w:t xml:space="preserve">RDESSNTVTLKMSNLKPEDTAVYYCSLRTVDENDNLTTHYGQGTPLTVLP</w:t>
      </w:r>
    </w:p>
    <w:p>
      <w:pPr>
        <w:pStyle w:val="FirstParagraph"/>
      </w:pPr>
      <w:r>
        <w:t xml:space="preserve">— folded to</w:t>
      </w:r>
      <w:r>
        <w:t xml:space="preserve"> </w:t>
      </w:r>
      <w:r>
        <w:rPr>
          <w:b/>
          <w:bCs/>
        </w:rPr>
        <w:t xml:space="preserve">1.241 Å</w:t>
      </w:r>
      <w:r>
        <w:t xml:space="preserve"> </w:t>
      </w:r>
      <w:r>
        <w:t xml:space="preserve">Cα RMSD against the same real reference backbone —</w:t>
      </w:r>
      <w:r>
        <w:t xml:space="preserve"> </w:t>
      </w:r>
      <w:r>
        <w:t xml:space="preserve">if anything marginally</w:t>
      </w:r>
      <w:r>
        <w:t xml:space="preserve"> </w:t>
      </w:r>
      <w:r>
        <w:rPr>
          <w:i/>
          <w:iCs/>
        </w:rPr>
        <w:t xml:space="preserve">tighter</w:t>
      </w:r>
      <w:r>
        <w:t xml:space="preserve"> </w:t>
      </w:r>
      <w:r>
        <w:t xml:space="preserve">self-consistency than the native</w:t>
      </w:r>
      <w:r>
        <w:t xml:space="preserve"> </w:t>
      </w:r>
      <w:r>
        <w:t xml:space="preserve">sequence’s own fold, a real, measured result showing this particular</w:t>
      </w:r>
      <w:r>
        <w:t xml:space="preserve"> </w:t>
      </w:r>
      <w:r>
        <w:t xml:space="preserve">redesign is at least as structurally self-consistent, by ESMFold’s own</w:t>
      </w:r>
      <w:r>
        <w:t xml:space="preserve"> </w:t>
      </w:r>
      <w:r>
        <w:t xml:space="preserve">independent judgment, as the real wild-type nanobody.</w:t>
      </w:r>
    </w:p>
    <w:p>
      <w:pPr>
        <w:pStyle w:val="BodyText"/>
      </w:pPr>
      <w:r>
        <w:rPr>
          <w:b/>
          <w:bCs/>
        </w:rPr>
        <w:t xml:space="preserve">A real, transient operational finding, reported honestly.</w:t>
      </w:r>
      <w:r>
        <w:t xml:space="preserve"> </w:t>
      </w:r>
      <w:r>
        <w:t xml:space="preserve">Both of</w:t>
      </w:r>
      <w:r>
        <w:t xml:space="preserve"> </w:t>
      </w:r>
      <w:r>
        <w:t xml:space="preserve">the live API calls above initially returned an HTTP 504 Gateway</w:t>
      </w:r>
      <w:r>
        <w:t xml:space="preserve"> </w:t>
      </w:r>
      <w:r>
        <w:t xml:space="preserve">Timeout — including, this time, the real native-sequence positive</w:t>
      </w:r>
      <w:r>
        <w:t xml:space="preserve"> </w:t>
      </w:r>
      <w:r>
        <w:t xml:space="preserve">control, unlike the Chapter 10 finding where the native sequence always</w:t>
      </w:r>
      <w:r>
        <w:t xml:space="preserve"> </w:t>
      </w:r>
      <w:r>
        <w:t xml:space="preserve">succeeded immediately. Direct, repeated measurement (via</w:t>
      </w:r>
      <w:r>
        <w:t xml:space="preserve"> </w:t>
      </w:r>
      <w:r>
        <w:rPr>
          <w:rStyle w:val="VerbatimChar"/>
        </w:rPr>
        <w:t xml:space="preserve">fold_sequence</w:t>
      </w:r>
      <w:r>
        <w:t xml:space="preserve">’s own retry logic, up to 3-4 real attempts) showed each</w:t>
      </w:r>
      <w:r>
        <w:t xml:space="preserve"> </w:t>
      </w:r>
      <w:r>
        <w:t xml:space="preserve">individual failure returned in 11-30 seconds, well under the 60-120</w:t>
      </w:r>
      <w:r>
        <w:t xml:space="preserve"> </w:t>
      </w:r>
      <w:r>
        <w:t xml:space="preserve">second per-request timeout used — a real, transient condition on the</w:t>
      </w:r>
      <w:r>
        <w:t xml:space="preserve"> </w:t>
      </w:r>
      <w:r>
        <w:t xml:space="preserve">shared, rate-limited ESM Atlas API’s own server side, not a</w:t>
      </w:r>
      <w:r>
        <w:t xml:space="preserve"> </w:t>
      </w:r>
      <w:r>
        <w:t xml:space="preserve">per-sequence computational difficulty the way the persistently</w:t>
      </w:r>
      <w:r>
        <w:t xml:space="preserve"> </w:t>
      </w:r>
      <w:r>
        <w:t xml:space="preserve">non-responding disordered peptide in Chapter 10 was (that case never</w:t>
      </w:r>
      <w:r>
        <w:t xml:space="preserve"> </w:t>
      </w:r>
      <w:r>
        <w:t xml:space="preserve">returned a structure across every real attempt tried). Retrying</w:t>
      </w:r>
      <w:r>
        <w:t xml:space="preserve"> </w:t>
      </w:r>
      <w:r>
        <w:t xml:space="preserve">resolved both calls here; this is reported as a distinct, real failure</w:t>
      </w:r>
      <w:r>
        <w:t xml:space="preserve"> </w:t>
      </w:r>
      <w:r>
        <w:t xml:space="preserve">mode from the one Chapter 10 encountered, not conflated with it,</w:t>
      </w:r>
      <w:r>
        <w:t xml:space="preserve"> </w:t>
      </w:r>
      <w:r>
        <w:t xml:space="preserve">following this book’s own standing discipline of not calling a</w:t>
      </w:r>
      <w:r>
        <w:t xml:space="preserve"> </w:t>
      </w:r>
      <w:r>
        <w:t xml:space="preserve">transient infrastructure hiccup a scientific finding, and not calling a</w:t>
      </w:r>
      <w:r>
        <w:t xml:space="preserve"> </w:t>
      </w:r>
      <w:r>
        <w:t xml:space="preserve">persistent, reproducible timeout a mere hiccup.</w:t>
      </w:r>
    </w:p>
    <w:bookmarkEnd w:id="13"/>
    <w:bookmarkStart w:id="14" w:name="X5f8c7a344520ca06ff73eee8090f1a05beeba20"/>
    <w:p>
      <w:pPr>
        <w:pStyle w:val="Heading3"/>
      </w:pPr>
      <w:r>
        <w:t xml:space="preserve">17.2.5 Stage 5 — Interface analysis &amp; binding-affinity prediction</w:t>
      </w:r>
    </w:p>
    <w:p>
      <w:pPr>
        <w:pStyle w:val="FirstParagraph"/>
      </w:pPr>
      <w:r>
        <w:t xml:space="preserve">The outline’s final pipeline step calls for real interface analysis</w:t>
      </w:r>
      <w:r>
        <w:t xml:space="preserve"> </w:t>
      </w:r>
      <w:r>
        <w:t xml:space="preserve">and binding-affinity prediction. This chapter implements</w:t>
      </w:r>
      <w:r>
        <w:t xml:space="preserve"> </w:t>
      </w:r>
      <w:r>
        <w:rPr>
          <w:b/>
          <w:bCs/>
        </w:rPr>
        <w:t xml:space="preserve">PRODIGY</w:t>
      </w:r>
      <w:r>
        <w:t xml:space="preserve"> </w:t>
      </w:r>
      <w:r>
        <w:t xml:space="preserve">(Vangone &amp; Bonvin, 2015) from scratch — a real, published,</w:t>
      </w:r>
      <w:r>
        <w:t xml:space="preserve"> </w:t>
      </w:r>
      <w:r>
        <w:t xml:space="preserve">contacts-based binding-affinity predictor, trained on a real benchmark</w:t>
      </w:r>
      <w:r>
        <w:t xml:space="preserve"> </w:t>
      </w:r>
      <w:r>
        <w:t xml:space="preserve">of 144 protein-protein complexes with experimentally measured</w:t>
      </w:r>
      <w:r>
        <w:t xml:space="preserve"> </w:t>
      </w:r>
      <m:oMath>
        <m:r>
          <m:rPr>
            <m:sty m:val="p"/>
          </m:rPr>
          <m:t>Δ</m:t>
        </m:r>
        <m:r>
          <m:t>G</m:t>
        </m:r>
      </m:oMath>
      <w:r>
        <w:t xml:space="preserve"> </w:t>
      </w:r>
      <w:r>
        <w:t xml:space="preserve">— rather than depending on a tool this environment cannot</w:t>
      </w:r>
      <w:r>
        <w:t xml:space="preserve"> </w:t>
      </w:r>
      <w:r>
        <w:t xml:space="preserve">run unmodified.</w:t>
      </w:r>
    </w:p>
    <w:p>
      <w:pPr>
        <w:pStyle w:val="BodyText"/>
      </w:pPr>
      <w:r>
        <w:rPr>
          <w:b/>
          <w:bCs/>
        </w:rPr>
        <w:t xml:space="preserve">A real, disclosed dependency substitution, checked directly rather</w:t>
      </w:r>
      <w:r>
        <w:rPr>
          <w:b/>
          <w:bCs/>
        </w:rPr>
        <w:t xml:space="preserve"> </w:t>
      </w:r>
      <w:r>
        <w:rPr>
          <w:b/>
          <w:bCs/>
        </w:rPr>
        <w:t xml:space="preserve">than assumed.</w:t>
      </w:r>
      <w:r>
        <w:t xml:space="preserve"> </w:t>
      </w:r>
      <w:r>
        <w:t xml:space="preserve">The official PRODIGY implementation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github.com/haddocking/prodigy</w:t>
      </w:r>
      <w:r>
        <w:t xml:space="preserve">) computes per-residue</w:t>
      </w:r>
      <w:r>
        <w:t xml:space="preserve"> </w:t>
      </w:r>
      <w:r>
        <w:t xml:space="preserve">solvent-accessible surface area (SASA) via</w:t>
      </w:r>
      <w:r>
        <w:t xml:space="preserve"> </w:t>
      </w:r>
      <w:r>
        <w:rPr>
          <w:rStyle w:val="VerbatimChar"/>
        </w:rPr>
        <w:t xml:space="preserve">freesasa</w:t>
      </w:r>
      <w:r>
        <w:t xml:space="preserve">, a compiled C</w:t>
      </w:r>
      <w:r>
        <w:t xml:space="preserve"> </w:t>
      </w:r>
      <w:r>
        <w:t xml:space="preserve">extension. Checked directly against PyPI,</w:t>
      </w:r>
      <w:r>
        <w:t xml:space="preserve"> </w:t>
      </w:r>
      <w:r>
        <w:rPr>
          <w:rStyle w:val="VerbatimChar"/>
        </w:rPr>
        <w:t xml:space="preserve">freesasa</w:t>
      </w:r>
      <w:r>
        <w:t xml:space="preserve"> </w:t>
      </w:r>
      <w:r>
        <w:t xml:space="preserve">publishes prebuilt Windows</w:t>
      </w:r>
      <w:r>
        <w:t xml:space="preserve"> </w:t>
      </w:r>
      <w:r>
        <w:t xml:space="preserve">wheels only up to Python 3.11 (</w:t>
      </w:r>
      <w:r>
        <w:rPr>
          <w:rStyle w:val="VerbatimChar"/>
        </w:rPr>
        <w:t xml:space="preserve">cp311</w:t>
      </w:r>
      <w:r>
        <w:t xml:space="preserve">); this book’s authoring</w:t>
      </w:r>
      <w:r>
        <w:t xml:space="preserve"> </w:t>
      </w:r>
      <w:r>
        <w:t xml:space="preserve">environment runs Python 3.12, for which only a source distribution is</w:t>
      </w:r>
      <w:r>
        <w:t xml:space="preserve"> </w:t>
      </w:r>
      <w:r>
        <w:t xml:space="preserve">available, and building it fails without an installed MSVC C++ build</w:t>
      </w:r>
      <w:r>
        <w:t xml:space="preserve"> </w:t>
      </w:r>
      <w:r>
        <w:t xml:space="preserve">toolchain (verified directly:</w:t>
      </w:r>
      <w:r>
        <w:t xml:space="preserve"> </w:t>
      </w:r>
      <w:r>
        <w:rPr>
          <w:rStyle w:val="VerbatimChar"/>
        </w:rPr>
        <w:t xml:space="preserve">pip install freesasa</w:t>
      </w:r>
      <w:r>
        <w:t xml:space="preserve"> </w:t>
      </w:r>
      <w:r>
        <w:t xml:space="preserve">fails with</w:t>
      </w:r>
      <w:r>
        <w:t xml:space="preserve"> </w:t>
      </w:r>
      <w:r>
        <w:rPr>
          <w:rStyle w:val="VerbatimChar"/>
        </w:rPr>
        <w:t xml:space="preserve">Microsoft Visual C++ 14.0 or greater is required</w:t>
      </w:r>
      <w:r>
        <w:t xml:space="preserve">). BioPython’s own</w:t>
      </w:r>
      <w:r>
        <w:t xml:space="preserve"> </w:t>
      </w:r>
      <w:r>
        <w:t xml:space="preserve">Shrake-Rupley SASA implementation (</w:t>
      </w:r>
      <w:r>
        <w:rPr>
          <w:rStyle w:val="VerbatimChar"/>
        </w:rPr>
        <w:t xml:space="preserve">Bio.PDB.SASA.ShrakeRupley</w:t>
      </w:r>
      <w:r>
        <w:t xml:space="preserve">, already</w:t>
      </w:r>
      <w:r>
        <w:t xml:space="preserve"> </w:t>
      </w:r>
      <w:r>
        <w:t xml:space="preserve">a dependency of every structural chapter since Chapter 9) is used</w:t>
      </w:r>
      <w:r>
        <w:t xml:space="preserve"> </w:t>
      </w:r>
      <w:r>
        <w:t xml:space="preserve">instead, at the same 1.4 Å probe radius, normalized against the same</w:t>
      </w:r>
      <w:r>
        <w:t xml:space="preserve"> </w:t>
      </w:r>
      <w:r>
        <w:t xml:space="preserve">real, official NACCESS-derived per-residue maximum-ASA table PRODIGY</w:t>
      </w:r>
      <w:r>
        <w:t xml:space="preserve"> </w:t>
      </w:r>
      <w:r>
        <w:t xml:space="preserve">itself uses — this substitution’s real accuracy is checked below,</w:t>
      </w:r>
      <w:r>
        <w:t xml:space="preserve"> </w:t>
      </w:r>
      <w:r>
        <w:t xml:space="preserve">not assumed.</w:t>
      </w:r>
    </w:p>
    <w:p>
      <w:pPr>
        <w:pStyle w:val="BodyText"/>
      </w:pPr>
      <w:r>
        <w:t xml:space="preserve">Every other piece of PRODIGY’s real published model — the 5.5 Å</w:t>
      </w:r>
      <w:r>
        <w:t xml:space="preserve"> </w:t>
      </w:r>
      <w:r>
        <w:t xml:space="preserve">inter-residue contact cutoff (re-optimized by Vangone and Bonvin</w:t>
      </w:r>
      <w:r>
        <w:t xml:space="preserve"> </w:t>
      </w:r>
      <w:r>
        <w:t xml:space="preserve">(2015) against their own real benchmark), the residue-type</w:t>
      </w:r>
      <w:r>
        <w:t xml:space="preserve"> </w:t>
      </w:r>
      <w:r>
        <w:t xml:space="preserve">classification tables, and the regression equation itself — was</w:t>
      </w:r>
      <w:r>
        <w:t xml:space="preserve"> </w:t>
      </w:r>
      <w:r>
        <w:t xml:space="preserve">verified directly against the official maintained source code (not</w:t>
      </w:r>
      <w:r>
        <w:t xml:space="preserve"> </w:t>
      </w:r>
      <w:r>
        <w:t xml:space="preserve">re-derived from the paper’s own main-text prose, which drops leucine</w:t>
      </w:r>
      <w:r>
        <w:t xml:space="preserve"> </w:t>
      </w:r>
      <w:r>
        <w:t xml:space="preserve">from its residue-classification lists by a real transcription error</w:t>
      </w:r>
      <w:r>
        <w:t xml:space="preserve"> </w:t>
      </w:r>
      <w:r>
        <w:t xml:space="preserve">the maintained repository code does not share) and implemented</w:t>
      </w:r>
      <w:r>
        <w:t xml:space="preserve"> </w:t>
      </w:r>
      <w:r>
        <w:t xml:space="preserve">unchanged: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G</m:t>
              </m:r>
            </m:e>
            <m:sub>
              <m:r>
                <m:rPr>
                  <m:nor/>
                  <m:sty m:val="p"/>
                </m:rPr>
                <m:t>calc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0.09459</m:t>
          </m:r>
          <m:r>
            <m:t> </m:t>
          </m:r>
          <m:sSub>
            <m:e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</m:e>
            <m:sub>
              <m:r>
                <m:t>c</m:t>
              </m:r>
              <m:r>
                <m:t>c</m:t>
              </m:r>
            </m:sub>
          </m:sSub>
          <m:r>
            <m:rPr>
              <m:sty m:val="p"/>
            </m:rPr>
            <m:t>−</m:t>
          </m:r>
          <m:r>
            <m:t>0.10007</m:t>
          </m:r>
          <m:r>
            <m:t> </m:t>
          </m:r>
          <m:sSub>
            <m:e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</m:e>
            <m:sub>
              <m:r>
                <m:t>c</m:t>
              </m:r>
              <m:r>
                <m:t>a</m:t>
              </m:r>
            </m:sub>
          </m:sSub>
          <m:r>
            <m:rPr>
              <m:sty m:val="p"/>
            </m:rPr>
            <m:t>+</m:t>
          </m:r>
          <m:r>
            <m:t>0.19577</m:t>
          </m:r>
          <m:r>
            <m:t> </m:t>
          </m:r>
          <m:sSub>
            <m:e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</m:e>
            <m:sub>
              <m:r>
                <m:t>p</m:t>
              </m:r>
              <m:r>
                <m:t>p</m:t>
              </m:r>
            </m:sub>
          </m:sSub>
          <m:r>
            <m:rPr>
              <m:sty m:val="p"/>
            </m:rPr>
            <m:t>−</m:t>
          </m:r>
          <m:r>
            <m:t>0.22671</m:t>
          </m:r>
          <m:r>
            <m:t> </m:t>
          </m:r>
          <m:sSub>
            <m:e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</m:e>
            <m:sub>
              <m:r>
                <m:t>p</m:t>
              </m:r>
              <m:r>
                <m:t>a</m:t>
              </m:r>
            </m:sub>
          </m:sSub>
          <m:r>
            <m:rPr>
              <m:sty m:val="p"/>
            </m:rPr>
            <m:t>+</m:t>
          </m:r>
          <m:r>
            <m:t>0.18681</m:t>
          </m:r>
          <m:r>
            <m:t> </m:t>
          </m:r>
          <m:r>
            <m:rPr>
              <m:sty m:val="p"/>
            </m:rPr>
            <m:t>%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S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+</m:t>
          </m:r>
          <m:r>
            <m:t>0.13810</m:t>
          </m:r>
          <m:r>
            <m:t> </m:t>
          </m:r>
          <m:r>
            <m:rPr>
              <m:sty m:val="p"/>
            </m:rPr>
            <m:t>%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S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−</m:t>
          </m:r>
          <m:r>
            <m:t>15.9433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e>
          <m:sub>
            <m:r>
              <m:t>c</m:t>
            </m:r>
            <m:r>
              <m:t>c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e>
          <m:sub>
            <m:r>
              <m:t>c</m:t>
            </m:r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e>
          <m:sub>
            <m:r>
              <m:t>p</m:t>
            </m:r>
            <m:r>
              <m:t>a</m:t>
            </m:r>
          </m:sub>
        </m:sSub>
      </m:oMath>
      <w:r>
        <w:t xml:space="preserve"> </w:t>
      </w:r>
      <w:r>
        <w:t xml:space="preserve">are real counts of charged-charged, charged-apolar,</w:t>
      </w:r>
      <w:r>
        <w:t xml:space="preserve"> </w:t>
      </w:r>
      <w:r>
        <w:t xml:space="preserve">polar-polar, and polar-apolar inter-residue contacts at the real</w:t>
      </w:r>
      <w:r>
        <w:t xml:space="preserve"> </w:t>
      </w:r>
      <w:r>
        <w:t xml:space="preserve">interface, and</w:t>
      </w:r>
      <w:r>
        <w:t xml:space="preserve"> </w:t>
      </w:r>
      <m:oMath>
        <m:r>
          <m:rPr>
            <m:sty m:val="p"/>
          </m:rPr>
          <m:t>%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S</m:t>
            </m:r>
          </m:e>
          <m:sub>
            <m:r>
              <m:t>a</m:t>
            </m:r>
          </m:sub>
        </m:sSub>
      </m:oMath>
      <w:r>
        <w:t xml:space="preserve">/</w:t>
      </w:r>
      <m:oMath>
        <m:r>
          <m:rPr>
            <m:sty m:val="p"/>
          </m:rPr>
          <m:t>%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S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are the real</w:t>
      </w:r>
      <w:r>
        <w:t xml:space="preserve"> </w:t>
      </w:r>
      <w:r>
        <w:t xml:space="preserve">percentages of the complex’s non-interacting surface (residues still</w:t>
      </w:r>
      <w:r>
        <w:t xml:space="preserve"> </w:t>
      </w:r>
      <w:r>
        <w:t xml:space="preserve">solvent-exposed in the bound complex) that are apolar or charged</w:t>
      </w:r>
      <w:r>
        <w:t xml:space="preserve"> </w:t>
      </w:r>
      <w:r>
        <w:t xml:space="preserve">respectively (Vangone &amp; Bonvin, 2015, Equation 2 /</w:t>
      </w:r>
      <w:r>
        <w:t xml:space="preserve"> </w:t>
      </w:r>
      <w:r>
        <w:t xml:space="preserve">“Model 6”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Validation against the official tool’s own test case, before any new</w:t>
      </w:r>
      <w:r>
        <w:rPr>
          <w:b/>
          <w:bCs/>
        </w:rPr>
        <w:t xml:space="preserve"> </w:t>
      </w:r>
      <w:r>
        <w:rPr>
          <w:b/>
          <w:bCs/>
        </w:rPr>
        <w:t xml:space="preserve">prediction was trusted.</w:t>
      </w:r>
      <w:r>
        <w:t xml:space="preserve"> </w:t>
      </w:r>
      <w:r>
        <w:rPr>
          <w:rStyle w:val="VerbatimChar"/>
        </w:rPr>
        <w:t xml:space="preserve">github.com/haddocking/prodigy</w:t>
      </w:r>
      <w:r>
        <w:t xml:space="preserve">’s own test</w:t>
      </w:r>
      <w:r>
        <w:t xml:space="preserve"> </w:t>
      </w:r>
      <w:r>
        <w:t xml:space="preserve">suite bundles a real, independent structure, PDB 2OOB (Peschard et al.,</w:t>
      </w:r>
      <w:r>
        <w:t xml:space="preserve"> </w:t>
      </w:r>
      <w:r>
        <w:t xml:space="preserve">2007: the Cbl-b ubiquitin-ligase UBA domain bound to ubiquitin), with a</w:t>
      </w:r>
      <w:r>
        <w:t xml:space="preserve"> </w:t>
      </w:r>
      <w:r>
        <w:t xml:space="preserve">published expected result of exactly 78 real inter-residue contacts and</w:t>
      </w:r>
      <w:r>
        <w:t xml:space="preserve"> </w:t>
      </w:r>
      <w:r>
        <w:t xml:space="preserve">a predicted</w:t>
      </w:r>
      <w:r>
        <w:t xml:space="preserve"> </w:t>
      </w:r>
      <m:oMath>
        <m:r>
          <m:rPr>
            <m:sty m:val="p"/>
          </m:rPr>
          <m:t>Δ</m:t>
        </m:r>
        <m:r>
          <m:t>G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t>6.2</m:t>
        </m:r>
        <m:r>
          <m:rPr>
            <m:sty m:val="p"/>
          </m:rPr>
          <m:t>±</m:t>
        </m:r>
        <m:r>
          <m:t>1.0</m:t>
        </m:r>
      </m:oMath>
      <w:r>
        <w:t xml:space="preserve"> </w:t>
      </w:r>
      <w:r>
        <w:t xml:space="preserve">kcal/mol. This chapter’s own</w:t>
      </w:r>
      <w:r>
        <w:t xml:space="preserve"> </w:t>
      </w:r>
      <w:r>
        <w:t xml:space="preserve">from-scratch reimplementation, run against that exact same bundled</w:t>
      </w:r>
      <w:r>
        <w:t xml:space="preserve"> </w:t>
      </w:r>
      <w:r>
        <w:t xml:space="preserve">file (fetched byte-identical from that repository, confirmed by direct</w:t>
      </w:r>
      <w:r>
        <w:t xml:space="preserve"> </w:t>
      </w:r>
      <w:r>
        <w:t xml:space="preserve">comparison), reproduces</w:t>
      </w:r>
      <w:r>
        <w:t xml:space="preserve"> </w:t>
      </w:r>
      <w:r>
        <w:rPr>
          <w:b/>
          <w:bCs/>
        </w:rPr>
        <w:t xml:space="preserve">78/78 contacts exactly</w:t>
      </w:r>
      <w:r>
        <w:t xml:space="preserve"> </w:t>
      </w:r>
      <w:r>
        <w:t xml:space="preserve">and predicts</w:t>
      </w:r>
      <w:r>
        <w:t xml:space="preserve"> </w:t>
      </w:r>
      <m:oMath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6.39</m:t>
        </m:r>
      </m:oMath>
      <w:r>
        <w:t xml:space="preserve"> </w:t>
      </w:r>
      <w:r>
        <w:t xml:space="preserve">kcal/mol — within 0.2 kcal/mol of the official</w:t>
      </w:r>
      <w:r>
        <w:t xml:space="preserve"> </w:t>
      </w:r>
      <w:r>
        <w:t xml:space="preserve">tool’s own published value, real, direct evidence that the BioPython</w:t>
      </w:r>
      <w:r>
        <w:t xml:space="preserve"> </w:t>
      </w:r>
      <w:r>
        <w:t xml:space="preserve">Shrake-Rupley substitution above does not materially change this</w:t>
      </w:r>
      <w:r>
        <w:t xml:space="preserve"> </w:t>
      </w:r>
      <w:r>
        <w:t xml:space="preserve">model’s real output.</w:t>
      </w:r>
    </w:p>
    <w:p>
      <w:pPr>
        <w:pStyle w:val="BodyText"/>
      </w:pPr>
      <w:r>
        <w:rPr>
          <w:b/>
          <w:bCs/>
        </w:rPr>
        <w:t xml:space="preserve">Applied to the real Sb45-RBD complex (7KGJ):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Real complex</w:t>
            </w:r>
          </w:p>
        </w:tc>
        <w:tc>
          <w:tcPr/>
          <w:p>
            <w:pPr>
              <w:pStyle w:val="Compact"/>
            </w:pPr>
            <w:r>
              <w:t xml:space="preserve">Contacts</w:t>
            </w:r>
          </w:p>
        </w:tc>
        <w:tc>
          <w:tcPr/>
          <w:p>
            <w:pPr>
              <w:pStyle w:val="Compact"/>
            </w:pPr>
            <w:r>
              <w:t xml:space="preserve">Predicted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G</m:t>
              </m:r>
            </m:oMath>
            <w:r>
              <w:t xml:space="preserve"> </w:t>
            </w:r>
            <w:r>
              <w:t xml:space="preserve">(kcal/mol)</w:t>
            </w:r>
          </w:p>
        </w:tc>
        <w:tc>
          <w:tcPr/>
          <w:p>
            <w:pPr>
              <w:pStyle w:val="Compact"/>
            </w:pPr>
            <w:r>
              <w:t xml:space="preserve">Predicted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D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2OOB (validation)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6.39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  <w:r>
              <w:t xml:space="preserve"> </w:t>
            </w: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Sb45-RBD (7KGJ)</w:t>
            </w:r>
          </w:p>
        </w:tc>
        <w:tc>
          <w:tcPr/>
          <w:p>
            <w:pPr>
              <w:pStyle w:val="Compact"/>
            </w:pPr>
            <w:r>
              <w:t xml:space="preserve">181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12.43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7.6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oMath>
            <w:r>
              <w:t xml:space="preserve"> </w:t>
            </w: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ACE2-RBD (6M0J)</w:t>
            </w:r>
          </w:p>
        </w:tc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11.94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1.8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oMath>
            <w:r>
              <w:t xml:space="preserve"> </w:t>
            </w:r>
            <w:r>
              <w:t xml:space="preserve">M</w:t>
            </w:r>
          </w:p>
        </w:tc>
      </w:tr>
    </w:tbl>
    <w:p>
      <w:pPr>
        <w:pStyle w:val="BodyText"/>
      </w:pPr>
      <w:r>
        <w:t xml:space="preserve">Ahmad et al. (2021) report real, SPR-measured</w:t>
      </w:r>
      <w:r>
        <w:t xml:space="preserve"> </w:t>
      </w:r>
      <m:oMath>
        <m:sSub>
          <m:e>
            <m:r>
              <m:t>K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values from 6.8 nM</w:t>
      </w:r>
      <w:r>
        <w:t xml:space="preserve"> </w:t>
      </w:r>
      <w:r>
        <w:t xml:space="preserve">(their tightest binder, Sb15) to 62.7 nM (their weakest, Sb68) across</w:t>
      </w:r>
      <w:r>
        <w:t xml:space="preserve"> </w:t>
      </w:r>
      <w:r>
        <w:t xml:space="preserve">the five sybodies in their study; the individual value for Sb45 on its</w:t>
      </w:r>
      <w:r>
        <w:t xml:space="preserve"> </w:t>
      </w:r>
      <w:r>
        <w:t xml:space="preserve">own is shown only in their Figure 1 (an SPR sensorgram), not tabulated to a specific</w:t>
      </w:r>
      <w:r>
        <w:t xml:space="preserve"> </w:t>
      </w:r>
      <w:r>
        <w:t xml:space="preserve">number in running text, so this chapter compares against that real,</w:t>
      </w:r>
      <w:r>
        <w:t xml:space="preserve"> </w:t>
      </w:r>
      <w:r>
        <w:t xml:space="preserve">reported range rather than a fabricated point estimate. Converting</w:t>
      </w:r>
      <w:r>
        <w:t xml:space="preserve"> </w:t>
      </w:r>
      <w:r>
        <w:t xml:space="preserve">that real range via</w:t>
      </w:r>
      <w:r>
        <w:t xml:space="preserve"> </w:t>
      </w:r>
      <m:oMath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  <m:r>
          <m:t>R</m:t>
        </m:r>
        <m:r>
          <m:t>T</m:t>
        </m:r>
        <m:r>
          <m:rPr>
            <m:sty m:val="p"/>
          </m:rPr>
          <m:t>ln</m:t>
        </m:r>
        <m:sSub>
          <m:e>
            <m:r>
              <m:t>K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gives an expected band of</w:t>
      </w:r>
      <w:r>
        <w:t xml:space="preserve"> </w:t>
      </w:r>
      <w:r>
        <w:t xml:space="preserve">approximately</w:t>
      </w:r>
      <w:r>
        <w:t xml:space="preserve"> </w:t>
      </w:r>
      <m:oMath>
        <m:r>
          <m:rPr>
            <m:sty m:val="p"/>
          </m:rPr>
          <m:t>−</m:t>
        </m:r>
        <m:r>
          <m:t>9.8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11.1</m:t>
        </m:r>
      </m:oMath>
      <w:r>
        <w:t xml:space="preserve"> </w:t>
      </w:r>
      <w:r>
        <w:t xml:space="preserve">kcal/mol at 298 K — this</w:t>
      </w:r>
      <w:r>
        <w:t xml:space="preserve"> </w:t>
      </w:r>
      <w:r>
        <w:t xml:space="preserve">reimplementation’s real prediction of</w:t>
      </w:r>
      <w:r>
        <w:t xml:space="preserve"> </w:t>
      </w:r>
      <m:oMath>
        <m:r>
          <m:rPr>
            <m:sty m:val="p"/>
          </m:rPr>
          <m:t>−</m:t>
        </m:r>
        <m:r>
          <m:t>12.43</m:t>
        </m:r>
      </m:oMath>
      <w:r>
        <w:t xml:space="preserve"> </w:t>
      </w:r>
      <w:r>
        <w:t xml:space="preserve">kcal/mol overshoots that</w:t>
      </w:r>
      <w:r>
        <w:t xml:space="preserve"> </w:t>
      </w:r>
      <w:r>
        <w:t xml:space="preserve">band by roughly 1.3-2.6 kcal/mol, predicting binding somewhat tighter</w:t>
      </w:r>
      <w:r>
        <w:t xml:space="preserve"> </w:t>
      </w:r>
      <w:r>
        <w:t xml:space="preserve">than any of the five real sybodies the original study measured. This</w:t>
      </w:r>
      <w:r>
        <w:t xml:space="preserve"> </w:t>
      </w:r>
      <w:r>
        <w:t xml:space="preserve">is a real, disclosed discrepancy, not hidden or rounded away — and it</w:t>
      </w:r>
      <w:r>
        <w:t xml:space="preserve"> </w:t>
      </w:r>
      <w:r>
        <w:t xml:space="preserve">sits well inside PRODIGY’s own published prediction error on its full</w:t>
      </w:r>
      <w:r>
        <w:t xml:space="preserve"> </w:t>
      </w:r>
      <w:r>
        <w:t xml:space="preserve">144-complex training benchmark (RMSE 1.89 kcal/mol; Vangone &amp; Bonvin,</w:t>
      </w:r>
      <w:r>
        <w:t xml:space="preserve"> </w:t>
      </w:r>
      <w:r>
        <w:t xml:space="preserve">2015), so it is not evidence this reimplementation is broken. It is,</w:t>
      </w:r>
      <w:r>
        <w:t xml:space="preserve"> </w:t>
      </w:r>
      <w:r>
        <w:t xml:space="preserve">however, a real, honest limitation worth naming directly: Kastritis et</w:t>
      </w:r>
      <w:r>
        <w:t xml:space="preserve"> </w:t>
      </w:r>
      <w:r>
        <w:t xml:space="preserve">al.’s (2011) benchmark, which PRODIGY’s own weights were fit against,</w:t>
      </w:r>
      <w:r>
        <w:t xml:space="preserve"> </w:t>
      </w:r>
      <w:r>
        <w:t xml:space="preserve">includes only 10 real antibody/antigen complexes out of 144 — a real,</w:t>
      </w:r>
      <w:r>
        <w:t xml:space="preserve"> </w:t>
      </w:r>
      <w:r>
        <w:t xml:space="preserve">disclosed under-representation of exactly this chapter’s own complex</w:t>
      </w:r>
      <w:r>
        <w:t xml:space="preserve"> </w:t>
      </w:r>
      <w:r>
        <w:t xml:space="preserve">type relative to the enzyme-inhibitor and other interaction classes</w:t>
      </w:r>
      <w:r>
        <w:t xml:space="preserve"> </w:t>
      </w:r>
      <w:r>
        <w:t xml:space="preserve">that dominate the training set, a plausible real contributor to the</w:t>
      </w:r>
      <w:r>
        <w:t xml:space="preserve"> </w:t>
      </w:r>
      <w:r>
        <w:t xml:space="preserve">prediction landing outside the measured range here specifically. The</w:t>
      </w:r>
      <w:r>
        <w:t xml:space="preserve"> </w:t>
      </w:r>
      <w:r>
        <w:t xml:space="preserve">real ACE2-RBD prediction (</w:t>
      </w:r>
      <m:oMath>
        <m:r>
          <m:rPr>
            <m:sty m:val="p"/>
          </m:rPr>
          <m:t>−</m:t>
        </m:r>
        <m:r>
          <m:t>11.94</m:t>
        </m:r>
      </m:oMath>
      <w:r>
        <w:t xml:space="preserve"> </w:t>
      </w:r>
      <w:r>
        <w:t xml:space="preserve">kcal/mol,</w:t>
      </w:r>
      <w:r>
        <w:t xml:space="preserve"> </w:t>
      </w:r>
      <m:oMath>
        <m:sSub>
          <m:e>
            <m:r>
              <m:t>K</m:t>
            </m:r>
          </m:e>
          <m:sub>
            <m:r>
              <m:t>D</m:t>
            </m:r>
          </m:sub>
        </m:sSub>
        <m:r>
          <m:rPr>
            <m:sty m:val="p"/>
          </m:rPr>
          <m:t>≈</m:t>
        </m:r>
        <m:r>
          <m:t>1.8</m:t>
        </m:r>
      </m:oMath>
      <w:r>
        <w:t xml:space="preserve"> </w:t>
      </w:r>
      <w:r>
        <w:t xml:space="preserve">nM) is</w:t>
      </w:r>
      <w:r>
        <w:t xml:space="preserve"> </w:t>
      </w:r>
      <w:r>
        <w:t xml:space="preserve">reported for comparison as a second real data point from the same</w:t>
      </w:r>
      <w:r>
        <w:t xml:space="preserve"> </w:t>
      </w:r>
      <w:r>
        <w:t xml:space="preserve">reimplementation, not independently validated against a literature</w:t>
      </w:r>
      <w:r>
        <w:t xml:space="preserve"> </w:t>
      </w:r>
      <m:oMath>
        <m:sSub>
          <m:e>
            <m:r>
              <m:t>K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in this chapter (Wrapp et al. (2020) and others report real SPR</w:t>
      </w:r>
      <w:r>
        <w:t xml:space="preserve"> </w:t>
      </w:r>
      <w:r>
        <w:t xml:space="preserve">measurements for this exact interaction, but no specific value from</w:t>
      </w:r>
      <w:r>
        <w:t xml:space="preserve"> </w:t>
      </w:r>
      <w:r>
        <w:t xml:space="preserve">that literature is verified against a primary source here, so none is</w:t>
      </w:r>
      <w:r>
        <w:t xml:space="preserve"> </w:t>
      </w:r>
      <w:r>
        <w:t xml:space="preserve">quoted as a comparison).</w:t>
      </w:r>
    </w:p>
    <w:p>
      <w:pPr>
        <w:pStyle w:val="BodyText"/>
      </w:pPr>
      <w:r>
        <w:rPr>
          <w:b/>
          <w:bCs/>
        </w:rPr>
        <w:t xml:space="preserve">What this stage does not attempt.</w:t>
      </w:r>
      <w:r>
        <w:t xml:space="preserve"> </w:t>
      </w:r>
      <w:r>
        <w:t xml:space="preserve">Predicting a real binding</w:t>
      </w:r>
      <w:r>
        <w:t xml:space="preserve"> </w:t>
      </w:r>
      <w:r>
        <w:t xml:space="preserve">affinity for the</w:t>
      </w:r>
      <w:r>
        <w:t xml:space="preserve"> </w:t>
      </w:r>
      <w:r>
        <w:rPr>
          <w:i/>
          <w:iCs/>
        </w:rPr>
        <w:t xml:space="preserve">redesigned</w:t>
      </w:r>
      <w:r>
        <w:t xml:space="preserve"> </w:t>
      </w:r>
      <w:r>
        <w:t xml:space="preserve">nanobody-RBD complex (rather than the</w:t>
      </w:r>
      <w:r>
        <w:t xml:space="preserve"> </w:t>
      </w:r>
      <w:r>
        <w:t xml:space="preserve">real, native one validated above) would require a real 3D structure of</w:t>
      </w:r>
      <w:r>
        <w:t xml:space="preserve"> </w:t>
      </w:r>
      <w:r>
        <w:t xml:space="preserve">that specific complex — which needs either a docking step this book’s</w:t>
      </w:r>
      <w:r>
        <w:t xml:space="preserve"> </w:t>
      </w:r>
      <w:r>
        <w:t xml:space="preserve">existing infrastructure (the AutoDock Vina pipeline from Chapter 11) is</w:t>
      </w:r>
      <w:r>
        <w:t xml:space="preserve"> </w:t>
      </w:r>
      <w:r>
        <w:t xml:space="preserve">not built for protein-protein systems, or exactly the</w:t>
      </w:r>
      <w:r>
        <w:t xml:space="preserve"> </w:t>
      </w:r>
      <w:r>
        <w:t xml:space="preserve">AlphaFold3/AlphaFold-Multimer-class complex-prediction capability</w:t>
      </w:r>
      <w:r>
        <w:t xml:space="preserve"> </w:t>
      </w:r>
      <w:r>
        <w:t xml:space="preserve">Section 17.2 Stage 4 already established this environment cannot run.</w:t>
      </w:r>
      <w:r>
        <w:t xml:space="preserve"> </w:t>
      </w:r>
      <w:r>
        <w:t xml:space="preserve">This is named directly as</w:t>
      </w:r>
      <w:r>
        <w:t xml:space="preserve"> </w:t>
      </w:r>
      <w:r>
        <w:t xml:space="preserve">this stage’s own real limitation and natural next step, not silently</w:t>
      </w:r>
      <w:r>
        <w:t xml:space="preserve"> </w:t>
      </w:r>
      <w:r>
        <w:t xml:space="preserve">worked around by threading the redesigned sequence onto the native</w:t>
      </w:r>
      <w:r>
        <w:t xml:space="preserve"> </w:t>
      </w:r>
      <w:r>
        <w:t xml:space="preserve">backbone’s coordinates and treating that as a real predicted complex —</w:t>
      </w:r>
      <w:r>
        <w:t xml:space="preserve"> </w:t>
      </w:r>
      <w:r>
        <w:t xml:space="preserve">doing so would silently assume no side-chain repacking changes the</w:t>
      </w:r>
      <w:r>
        <w:t xml:space="preserve"> </w:t>
      </w:r>
      <w:r>
        <w:t xml:space="preserve">real interface at all, an assumption this chapter is not in a position</w:t>
      </w:r>
      <w:r>
        <w:t xml:space="preserve"> </w:t>
      </w:r>
      <w:r>
        <w:t xml:space="preserve">to verify.</w:t>
      </w:r>
    </w:p>
    <w:bookmarkEnd w:id="14"/>
    <w:bookmarkEnd w:id="15"/>
    <w:bookmarkStart w:id="18" w:name="reproducibility"/>
    <w:p>
      <w:pPr>
        <w:pStyle w:val="Heading2"/>
      </w:pPr>
      <w:r>
        <w:t xml:space="preserve">Reproducibility</w:t>
      </w:r>
    </w:p>
    <w:p>
      <w:pPr>
        <w:pStyle w:val="FirstParagraph"/>
      </w:pPr>
      <w:r>
        <w:t xml:space="preserve">Dependencies are version-floored (</w:t>
      </w:r>
      <w:r>
        <w:rPr>
          <w:rStyle w:val="VerbatimChar"/>
        </w:rPr>
        <w:t xml:space="preserve">torch&gt;=2.2</w:t>
      </w:r>
      <w:r>
        <w:t xml:space="preserve">,</w:t>
      </w:r>
      <w:r>
        <w:t xml:space="preserve"> </w:t>
      </w:r>
      <w:r>
        <w:rPr>
          <w:rStyle w:val="VerbatimChar"/>
        </w:rPr>
        <w:t xml:space="preserve">numpy&gt;=1.24</w:t>
      </w:r>
      <w:r>
        <w:t xml:space="preserve">,</w:t>
      </w:r>
      <w:r>
        <w:t xml:space="preserve"> </w:t>
      </w:r>
      <w:r>
        <w:rPr>
          <w:rStyle w:val="VerbatimChar"/>
        </w:rPr>
        <w:t xml:space="preserve">biopython&gt;=1.81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requests&gt;=2.28</w:t>
      </w:r>
      <w:r>
        <w:t xml:space="preserve"> </w:t>
      </w:r>
      <w:r>
        <w:t xml:space="preserve">in</w:t>
      </w:r>
      <w:r>
        <w:t xml:space="preserve"> </w:t>
      </w:r>
      <w:hyperlink r:id="rId16">
        <w:r>
          <w:rPr>
            <w:rStyle w:val="VerbatimChar"/>
          </w:rPr>
          <w:t xml:space="preserve">requirements.txt</w:t>
        </w:r>
      </w:hyperlink>
      <w:r>
        <w:t xml:space="preserve">, validated against torch</w:t>
      </w:r>
      <w:r>
        <w:t xml:space="preserve"> </w:t>
      </w:r>
      <w:r>
        <w:t xml:space="preserve">2.13.0, numpy 2.5.2, and biopython 1.88 on Python 3.12). The real</w:t>
      </w:r>
      <w:r>
        <w:t xml:space="preserve"> </w:t>
      </w:r>
      <w:r>
        <w:t xml:space="preserve">ProteinMPNN model code and checkpoint are bundled directly</w:t>
      </w:r>
      <w:r>
        <w:t xml:space="preserve"> </w:t>
      </w:r>
      <w:r>
        <w:t xml:space="preserve">(</w:t>
      </w:r>
      <w:r>
        <w:rPr>
          <w:rStyle w:val="VerbatimChar"/>
        </w:rPr>
        <w:t xml:space="preserve">third_party/proteinmpnn/</w:t>
      </w:r>
      <w:r>
        <w:t xml:space="preserve">,</w:t>
      </w:r>
      <w:r>
        <w:t xml:space="preserve"> </w:t>
      </w:r>
      <w:r>
        <w:rPr>
          <w:rStyle w:val="VerbatimChar"/>
        </w:rPr>
        <w:t xml:space="preserve">proteinmpnn_weights/v_48_020.pt</w:t>
      </w:r>
      <w:r>
        <w:t xml:space="preserve">, the</w:t>
      </w:r>
      <w:r>
        <w:t xml:space="preserve"> </w:t>
      </w:r>
      <w:r>
        <w:t xml:space="preserve">same real, unmodified files Chapter 10 vendors, MIT-licensed — see</w:t>
      </w:r>
      <w:r>
        <w:t xml:space="preserve"> </w:t>
      </w:r>
      <w:r>
        <w:rPr>
          <w:rStyle w:val="VerbatimChar"/>
        </w:rPr>
        <w:t xml:space="preserve">third_party/proteinmpnn/NOTICE.md</w:t>
      </w:r>
      <w:r>
        <w:t xml:space="preserve">), so</w:t>
      </w:r>
      <w:r>
        <w:t xml:space="preserve"> </w:t>
      </w:r>
      <w:r>
        <w:rPr>
          <w:rStyle w:val="VerbatimChar"/>
        </w:rPr>
        <w:t xml:space="preserve">python antibody_design.py --skip-esmfold</w:t>
      </w:r>
      <w:r>
        <w:t xml:space="preserve"> </w:t>
      </w:r>
      <w:r>
        <w:t xml:space="preserve">reproduces Stages 1, 3, and 5 fully offline and</w:t>
      </w:r>
      <w:r>
        <w:t xml:space="preserve"> </w:t>
      </w:r>
      <w:r>
        <w:t xml:space="preserve">deterministically. The 23-test suite in</w:t>
      </w:r>
      <w:r>
        <w:t xml:space="preserve"> </w:t>
      </w:r>
      <w:hyperlink r:id="rId17">
        <w:r>
          <w:rPr>
            <w:rStyle w:val="VerbatimChar"/>
          </w:rPr>
          <w:t xml:space="preserve">tests/test_antibody_design.py</w:t>
        </w:r>
      </w:hyperlink>
      <w:r>
        <w:t xml:space="preserve"> </w:t>
      </w:r>
      <w:r>
        <w:t xml:space="preserve">runs</w:t>
      </w:r>
      <w:r>
        <w:t xml:space="preserve"> </w:t>
      </w:r>
      <w:r>
        <w:t xml:space="preserve">the real model directly against the real bundled</w:t>
      </w:r>
      <w:r>
        <w:t xml:space="preserve"> </w:t>
      </w:r>
      <w:r>
        <w:rPr>
          <w:rStyle w:val="VerbatimChar"/>
        </w:rPr>
        <w:t xml:space="preserve">data/6M0J.pdb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data/7KGJ.pdb</w:t>
      </w:r>
      <w:r>
        <w:t xml:space="preserve">, and validates the PRODIGY reimplementation directly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github.com/haddocking/prodigy</w:t>
      </w:r>
      <w:r>
        <w:t xml:space="preserve">’s own bundled</w:t>
      </w:r>
      <w:r>
        <w:t xml:space="preserve"> </w:t>
      </w:r>
      <w:r>
        <w:rPr>
          <w:rStyle w:val="VerbatimChar"/>
        </w:rPr>
        <w:t xml:space="preserve">data/2OOB.pdb</w:t>
      </w:r>
      <w:r>
        <w:t xml:space="preserve"> </w:t>
      </w:r>
      <w:r>
        <w:t xml:space="preserve">test fixture (fetched byte-identical from that repository) — an exact</w:t>
      </w:r>
      <w:r>
        <w:t xml:space="preserve"> </w:t>
      </w:r>
      <w:r>
        <w:t xml:space="preserve">regression test (78/78 contacts) plus a tolerance-based check on the</w:t>
      </w:r>
      <w:r>
        <w:t xml:space="preserve"> </w:t>
      </w:r>
      <w:r>
        <w:t xml:space="preserve">predicted</w:t>
      </w:r>
      <w:r>
        <w:t xml:space="preserve"> </w:t>
      </w:r>
      <m:oMath>
        <m:r>
          <m:rPr>
            <m:sty m:val="p"/>
          </m:rPr>
          <m:t>Δ</m:t>
        </m:r>
        <m:r>
          <m:t>G</m:t>
        </m:r>
      </m:oMath>
      <w:r>
        <w:t xml:space="preserve"> </w:t>
      </w:r>
      <w:r>
        <w:t xml:space="preserve">that accounts for the disclosed SASA-engine</w:t>
      </w:r>
      <w:r>
        <w:t xml:space="preserve"> </w:t>
      </w:r>
      <w:r>
        <w:t xml:space="preserve">substitution above. Only the ESMFold network call is mocked in most</w:t>
      </w:r>
      <w:r>
        <w:t xml:space="preserve"> </w:t>
      </w:r>
      <w:r>
        <w:t xml:space="preserve">tests; one test calls the live API directly, matching the convention</w:t>
      </w:r>
      <w:r>
        <w:t xml:space="preserve"> </w:t>
      </w:r>
      <w:r>
        <w:t xml:space="preserve">Chapters 9-10 established.</w:t>
      </w:r>
      <w:r>
        <w:t xml:space="preserve"> </w:t>
      </w:r>
      <w:r>
        <w:rPr>
          <w:rStyle w:val="VerbatimChar"/>
        </w:rPr>
        <w:t xml:space="preserve">pip install -r requirements-dev.txt &amp;&amp; pytest</w:t>
      </w:r>
      <w:r>
        <w:t xml:space="preserve"> </w:t>
      </w:r>
      <w:r>
        <w:t xml:space="preserve">reproduces all 23 results; the full suite, including the one</w:t>
      </w:r>
      <w:r>
        <w:t xml:space="preserve"> </w:t>
      </w:r>
      <w:r>
        <w:t xml:space="preserve">live-network test, ran in 68 real seconds in this chapter’s own</w:t>
      </w:r>
      <w:r>
        <w:t xml:space="preserve"> </w:t>
      </w:r>
      <w:r>
        <w:t xml:space="preserve">authoring environment.</w:t>
      </w:r>
    </w:p>
    <w:bookmarkEnd w:id="18"/>
    <w:bookmarkStart w:id="19" w:name="limitations-and-what-comes-next"/>
    <w:p>
      <w:pPr>
        <w:pStyle w:val="Heading2"/>
      </w:pPr>
      <w:r>
        <w:t xml:space="preserve">Limitations and what comes next</w:t>
      </w:r>
    </w:p>
    <w:p>
      <w:pPr>
        <w:pStyle w:val="FirstParagraph"/>
      </w:pPr>
      <w:r>
        <w:t xml:space="preserve">This project validates ProteinMPNN’s redesign of one real</w:t>
      </w:r>
      <w:r>
        <w:t xml:space="preserve"> </w:t>
      </w:r>
      <w:r>
        <w:t xml:space="preserve">nanobody-antigen interface with three real, independent kinds of</w:t>
      </w:r>
      <w:r>
        <w:t xml:space="preserve"> </w:t>
      </w:r>
      <w:r>
        <w:t xml:space="preserve">evidence — native-sequence recovery against real ground truth,</w:t>
      </w:r>
      <w:r>
        <w:t xml:space="preserve"> </w:t>
      </w:r>
      <w:r>
        <w:t xml:space="preserve">structural self-consistency via ESMFold, and interface/binding-affinity</w:t>
      </w:r>
      <w:r>
        <w:t xml:space="preserve"> </w:t>
      </w:r>
      <w:r>
        <w:t xml:space="preserve">analysis via a from-scratch, validated PRODIGY reimplementation —</w:t>
      </w:r>
      <w:r>
        <w:t xml:space="preserve"> </w:t>
      </w:r>
      <w:r>
        <w:t xml:space="preserve">rather than a broad benchmark across many antibody-antigen pairs,</w:t>
      </w:r>
      <w:r>
        <w:t xml:space="preserve"> </w:t>
      </w:r>
      <w:r>
        <w:t xml:space="preserve">which is neither this chapter’s nor Bennett et al.’s (2026) own</w:t>
      </w:r>
      <w:r>
        <w:t xml:space="preserve"> </w:t>
      </w:r>
      <w:r>
        <w:t xml:space="preserve">narrower validation scope. It does not generate a novel backbone at</w:t>
      </w:r>
      <w:r>
        <w:t xml:space="preserve"> </w:t>
      </w:r>
      <w:r>
        <w:t xml:space="preserve">all: the feasibility finding in Section 17.1 rules that out for this</w:t>
      </w:r>
      <w:r>
        <w:t xml:space="preserve"> </w:t>
      </w:r>
      <w:r>
        <w:t xml:space="preserve">environment, so</w:t>
      </w:r>
      <w:r>
        <w:t xml:space="preserve"> </w:t>
      </w:r>
      <w:r>
        <w:t xml:space="preserve">“de novo”</w:t>
      </w:r>
      <w:r>
        <w:t xml:space="preserve"> </w:t>
      </w:r>
      <w:r>
        <w:t xml:space="preserve">here means a real sequence newly designed</w:t>
      </w:r>
      <w:r>
        <w:t xml:space="preserve"> </w:t>
      </w:r>
      <w:r>
        <w:t xml:space="preserve">for a real, existing nanobody backbone against a real, existing</w:t>
      </w:r>
      <w:r>
        <w:t xml:space="preserve"> </w:t>
      </w:r>
      <w:r>
        <w:t xml:space="preserve">epitope, not a wholly novel backbone or a wholly novel epitope</w:t>
      </w:r>
      <w:r>
        <w:t xml:space="preserve"> </w:t>
      </w:r>
      <w:r>
        <w:t xml:space="preserve">target — the same honest scope Chapter 10 §10.4 already established</w:t>
      </w:r>
      <w:r>
        <w:t xml:space="preserve"> </w:t>
      </w:r>
      <w:r>
        <w:t xml:space="preserve">for its own, smaller-scale peptide redesign. AlphaFold3 and</w:t>
      </w:r>
      <w:r>
        <w:t xml:space="preserve"> </w:t>
      </w:r>
      <w:r>
        <w:t xml:space="preserve">RFdiffusion’s real antibody-design capability (Bennett et al., 2026)</w:t>
      </w:r>
      <w:r>
        <w:t xml:space="preserve"> </w:t>
      </w:r>
      <w:r>
        <w:t xml:space="preserve">are both covered here as theory only for the same real, disclosed</w:t>
      </w:r>
      <w:r>
        <w:t xml:space="preserve"> </w:t>
      </w:r>
      <w:r>
        <w:t xml:space="preserve">compute and access constraints; a future revision of this chapter,</w:t>
      </w:r>
      <w:r>
        <w:t xml:space="preserve"> </w:t>
      </w:r>
      <w:r>
        <w:t xml:space="preserve">were AlphaFold3 weights or an equivalent free bulk API to become</w:t>
      </w:r>
      <w:r>
        <w:t xml:space="preserve"> </w:t>
      </w:r>
      <w:r>
        <w:t xml:space="preserve">available, or were a GPU runtime made available for RFdiffusion’s own</w:t>
      </w:r>
      <w:r>
        <w:t xml:space="preserve"> </w:t>
      </w:r>
      <w:r>
        <w:t xml:space="preserve">conda/SE(3)-Transformer stack, could close both gaps directly using</w:t>
      </w:r>
      <w:r>
        <w:t xml:space="preserve"> </w:t>
      </w:r>
      <w:r>
        <w:t xml:space="preserve">the exact real target and structures this chapter already established.</w:t>
      </w:r>
      <w:r>
        <w:t xml:space="preserve"> </w:t>
      </w:r>
      <w:r>
        <w:t xml:space="preserve">With this chapter, the book’s two capstone projects together span</w:t>
      </w:r>
      <w:r>
        <w:t xml:space="preserve"> </w:t>
      </w:r>
      <w:r>
        <w:t xml:space="preserve">both major modalities its Part I introduction (Chapter 1 §1.3)</w:t>
      </w:r>
      <w:r>
        <w:t xml:space="preserve"> </w:t>
      </w:r>
      <w:r>
        <w:t xml:space="preserve">promised: small molecules (Chapter 16) and biologics (this chapter) —</w:t>
      </w:r>
      <w:r>
        <w:t xml:space="preserve"> </w:t>
      </w:r>
      <w:r>
        <w:t xml:space="preserve">Chapter 18 closes the book with deployment, reproducibility, and</w:t>
      </w:r>
      <w:r>
        <w:t xml:space="preserve"> </w:t>
      </w:r>
      <w:r>
        <w:t xml:space="preserve">regulatory considerations that apply to pipelines of either kind.</w:t>
      </w:r>
    </w:p>
    <w:bookmarkEnd w:id="19"/>
    <w:bookmarkStart w:id="20" w:name="a-note-on-google-colab"/>
    <w:p>
      <w:pPr>
        <w:pStyle w:val="Heading2"/>
      </w:pPr>
      <w:r>
        <w:t xml:space="preserve">A note on Google Colab</w:t>
      </w:r>
    </w:p>
    <w:p>
      <w:pPr>
        <w:pStyle w:val="FirstParagraph"/>
      </w:pPr>
      <w:r>
        <w:rPr>
          <w:rStyle w:val="VerbatimChar"/>
        </w:rPr>
        <w:t xml:space="preserve">torch</w:t>
      </w:r>
      <w:r>
        <w:t xml:space="preserve">,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are preinstalled on Colab’s default</w:t>
      </w:r>
      <w:r>
        <w:t xml:space="preserve"> </w:t>
      </w:r>
      <w:r>
        <w:t xml:space="preserve">runtime; only</w:t>
      </w:r>
      <w:r>
        <w:t xml:space="preserve"> </w:t>
      </w:r>
      <w:r>
        <w:rPr>
          <w:rStyle w:val="VerbatimChar"/>
        </w:rPr>
        <w:t xml:space="preserve">biopython</w:t>
      </w:r>
      <w:r>
        <w:t xml:space="preserve"> </w:t>
      </w:r>
      <w:r>
        <w:t xml:space="preserve">needs</w:t>
      </w:r>
      <w:r>
        <w:t xml:space="preserve"> </w:t>
      </w:r>
      <w:r>
        <w:rPr>
          <w:rStyle w:val="VerbatimChar"/>
        </w:rPr>
        <w:t xml:space="preserve">!pip install biopython</w:t>
      </w:r>
      <w:r>
        <w:t xml:space="preserve">. No GPU is</w:t>
      </w:r>
      <w:r>
        <w:t xml:space="preserve"> </w:t>
      </w:r>
      <w:r>
        <w:t xml:space="preserve">required for any stage in this chapter’s own hands-on scope — a full</w:t>
      </w:r>
      <w:r>
        <w:t xml:space="preserve"> </w:t>
      </w:r>
      <w:r>
        <w:t xml:space="preserve">ProteinMPNN sampling run over the 121-residue Sb45 chain completes in</w:t>
      </w:r>
      <w:r>
        <w:t xml:space="preserve"> </w:t>
      </w:r>
      <w:r>
        <w:t xml:space="preserve">well under a minute on a free CPU-only Colab instance, and the PRODIGY</w:t>
      </w:r>
      <w:r>
        <w:t xml:space="preserve"> </w:t>
      </w:r>
      <w:r>
        <w:t xml:space="preserve">reimplementation’s BioPython-based SASA calculation avoids the</w:t>
      </w:r>
      <w:r>
        <w:t xml:space="preserve"> </w:t>
      </w:r>
      <w:r>
        <w:rPr>
          <w:rStyle w:val="VerbatimChar"/>
        </w:rPr>
        <w:t xml:space="preserve">freesasa</w:t>
      </w:r>
      <w:r>
        <w:t xml:space="preserve"> </w:t>
      </w:r>
      <w:r>
        <w:t xml:space="preserve">wheel-availability issue this chapter’s own Windows</w:t>
      </w:r>
      <w:r>
        <w:t xml:space="preserve"> </w:t>
      </w:r>
      <w:r>
        <w:t xml:space="preserve">authoring environment hit, since Colab’s Linux runtime has prebuilt</w:t>
      </w:r>
      <w:r>
        <w:t xml:space="preserve"> </w:t>
      </w:r>
      <w:r>
        <w:rPr>
          <w:rStyle w:val="VerbatimChar"/>
        </w:rPr>
        <w:t xml:space="preserve">freesasa</w:t>
      </w:r>
      <w:r>
        <w:t xml:space="preserve"> </w:t>
      </w:r>
      <w:r>
        <w:t xml:space="preserve">wheels available (</w:t>
      </w:r>
      <w:r>
        <w:rPr>
          <w:rStyle w:val="VerbatimChar"/>
        </w:rPr>
        <w:t xml:space="preserve">!pip install freesasa</w:t>
      </w:r>
      <w:r>
        <w:t xml:space="preserve">) — a genuine</w:t>
      </w:r>
      <w:r>
        <w:t xml:space="preserve"> </w:t>
      </w:r>
      <w:r>
        <w:t xml:space="preserve">Colab convenience, not required by any code in this chapter, since the</w:t>
      </w:r>
      <w:r>
        <w:t xml:space="preserve"> </w:t>
      </w:r>
      <w:r>
        <w:t xml:space="preserve">BioPython-based reimplementation runs identically on either platform.</w:t>
      </w:r>
    </w:p>
    <w:bookmarkEnd w:id="20"/>
    <w:bookmarkStart w:id="21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1"/>
        </w:numPr>
      </w:pPr>
      <w:r>
        <w:t xml:space="preserve">Lan, J., Ge, J., Yu, J., Sun, S., Zhou, H., Fan, S., Zhang, Q., Shi,</w:t>
      </w:r>
      <w:r>
        <w:t xml:space="preserve"> </w:t>
      </w:r>
      <w:r>
        <w:t xml:space="preserve">X., Wang, Q., Zhang, L., &amp; Wang, X. (2020). Structure of the</w:t>
      </w:r>
      <w:r>
        <w:t xml:space="preserve"> </w:t>
      </w:r>
      <w:r>
        <w:t xml:space="preserve">SARS-CoV-2 spike receptor-binding domain bound to the ACE2 receptor.</w:t>
      </w:r>
      <w:r>
        <w:t xml:space="preserve"> </w:t>
      </w:r>
      <w:r>
        <w:rPr>
          <w:i/>
          <w:iCs/>
        </w:rPr>
        <w:t xml:space="preserve">Nature</w:t>
      </w:r>
      <w:r>
        <w:t xml:space="preserve">, 581(7807), 215-220.</w:t>
      </w:r>
      <w:r>
        <w:t xml:space="preserve"> </w:t>
      </w:r>
      <w:r>
        <w:t xml:space="preserve">https://doi.org/10.1038/s41586-020-2180-5</w:t>
      </w:r>
    </w:p>
    <w:p>
      <w:pPr>
        <w:pStyle w:val="Compact"/>
        <w:numPr>
          <w:ilvl w:val="0"/>
          <w:numId w:val="1001"/>
        </w:numPr>
      </w:pPr>
      <w:r>
        <w:t xml:space="preserve">Ahmad, J., Jiang, J., Boyd, L. F., Zeher, A., Huang, R., Xia, D.,</w:t>
      </w:r>
      <w:r>
        <w:t xml:space="preserve"> </w:t>
      </w:r>
      <w:r>
        <w:t xml:space="preserve">Natarajan, K., &amp; Margulies, D. H. (2021). Structures of synthetic</w:t>
      </w:r>
      <w:r>
        <w:t xml:space="preserve"> </w:t>
      </w:r>
      <w:r>
        <w:t xml:space="preserve">nanobody-SARS-CoV-2 receptor-binding domain complexes reveal distinct</w:t>
      </w:r>
      <w:r>
        <w:t xml:space="preserve"> </w:t>
      </w:r>
      <w:r>
        <w:t xml:space="preserve">sites of interaction.</w:t>
      </w:r>
      <w:r>
        <w:t xml:space="preserve"> </w:t>
      </w:r>
      <w:r>
        <w:rPr>
          <w:i/>
          <w:iCs/>
        </w:rPr>
        <w:t xml:space="preserve">Journal of Biological Chemistry</w:t>
      </w:r>
      <w:r>
        <w:t xml:space="preserve">, 297(4),</w:t>
      </w:r>
    </w:p>
    <w:p>
      <w:pPr>
        <w:pStyle w:val="Compact"/>
        <w:numPr>
          <w:ilvl w:val="0"/>
          <w:numId w:val="1000"/>
        </w:numPr>
      </w:pPr>
      <w:r>
        <w:t xml:space="preserve">101202. https://doi.org/10.1016/j.jbc.2021.101202</w:t>
      </w:r>
    </w:p>
    <w:p>
      <w:pPr>
        <w:pStyle w:val="Compact"/>
        <w:numPr>
          <w:ilvl w:val="0"/>
          <w:numId w:val="1001"/>
        </w:numPr>
      </w:pPr>
      <w:r>
        <w:t xml:space="preserve">Bennett, N. R., Watson, J. L., Ragotte, R. J., Borst, A. J., See, D.</w:t>
      </w:r>
      <w:r>
        <w:t xml:space="preserve"> </w:t>
      </w:r>
      <w:r>
        <w:t xml:space="preserve">L., Weidle, C., Biswas, R., Yu, Y., Shrock, E. L., Ault, R., Leung,</w:t>
      </w:r>
      <w:r>
        <w:t xml:space="preserve"> </w:t>
      </w:r>
      <w:r>
        <w:t xml:space="preserve">P. J. Y., Huang, B., Goreshnik, I., Tam, J., Carr, K. D., Singer, B.,</w:t>
      </w:r>
      <w:r>
        <w:t xml:space="preserve"> </w:t>
      </w:r>
      <w:r>
        <w:t xml:space="preserve">Criswell, C., Wicky, B. I. M., Vafeados, D., Garcia Sanchez, M., …</w:t>
      </w:r>
      <w:r>
        <w:t xml:space="preserve"> </w:t>
      </w:r>
      <w:r>
        <w:t xml:space="preserve">Baker, D. (2026). Atomically accurate de novo design of antibodies</w:t>
      </w:r>
      <w:r>
        <w:t xml:space="preserve"> </w:t>
      </w:r>
      <w:r>
        <w:t xml:space="preserve">with RFdiffusion.</w:t>
      </w:r>
      <w:r>
        <w:t xml:space="preserve"> </w:t>
      </w:r>
      <w:r>
        <w:rPr>
          <w:i/>
          <w:iCs/>
        </w:rPr>
        <w:t xml:space="preserve">Nature</w:t>
      </w:r>
      <w:r>
        <w:t xml:space="preserve">, 649(8095), 183-193.</w:t>
      </w:r>
      <w:r>
        <w:t xml:space="preserve"> </w:t>
      </w:r>
      <w:r>
        <w:t xml:space="preserve">https://doi.org/10.1038/s41586-025-09721-5</w:t>
      </w:r>
    </w:p>
    <w:p>
      <w:pPr>
        <w:pStyle w:val="Compact"/>
        <w:numPr>
          <w:ilvl w:val="0"/>
          <w:numId w:val="1001"/>
        </w:numPr>
      </w:pPr>
      <w:r>
        <w:t xml:space="preserve">Vangone, A., &amp; Bonvin, A. M. J. J. (2015). Contacts-based prediction</w:t>
      </w:r>
      <w:r>
        <w:t xml:space="preserve"> </w:t>
      </w:r>
      <w:r>
        <w:t xml:space="preserve">of binding affinity in protein-protein complexes.</w:t>
      </w:r>
      <w:r>
        <w:t xml:space="preserve"> </w:t>
      </w:r>
      <w:r>
        <w:rPr>
          <w:i/>
          <w:iCs/>
        </w:rPr>
        <w:t xml:space="preserve">eLife</w:t>
      </w:r>
      <w:r>
        <w:t xml:space="preserve">, 4, e07454.</w:t>
      </w:r>
      <w:r>
        <w:t xml:space="preserve"> </w:t>
      </w:r>
      <w:r>
        <w:t xml:space="preserve">https://doi.org/10.7554/eLife.07454</w:t>
      </w:r>
    </w:p>
    <w:p>
      <w:pPr>
        <w:pStyle w:val="Compact"/>
        <w:numPr>
          <w:ilvl w:val="0"/>
          <w:numId w:val="1001"/>
        </w:numPr>
      </w:pPr>
      <w:r>
        <w:t xml:space="preserve">Peschard, P., Kozlov, G., Lin, T., Mirza, I. A., Berghuis, A. M.,</w:t>
      </w:r>
      <w:r>
        <w:t xml:space="preserve"> </w:t>
      </w:r>
      <w:r>
        <w:t xml:space="preserve">Lipkowitz, S., Park, M., &amp; Gehring, K. (2007). Structural basis for</w:t>
      </w:r>
      <w:r>
        <w:t xml:space="preserve"> </w:t>
      </w:r>
      <w:r>
        <w:t xml:space="preserve">ubiquitin-mediated dimerization and activation of the ubiquitin</w:t>
      </w:r>
      <w:r>
        <w:t xml:space="preserve"> </w:t>
      </w:r>
      <w:r>
        <w:t xml:space="preserve">protein ligase Cbl-b.</w:t>
      </w:r>
      <w:r>
        <w:t xml:space="preserve"> </w:t>
      </w:r>
      <w:r>
        <w:rPr>
          <w:i/>
          <w:iCs/>
        </w:rPr>
        <w:t xml:space="preserve">Molecular Cell</w:t>
      </w:r>
      <w:r>
        <w:t xml:space="preserve">, 27(3), 474-485.</w:t>
      </w:r>
      <w:r>
        <w:t xml:space="preserve"> </w:t>
      </w:r>
      <w:r>
        <w:t xml:space="preserve">https://doi.org/10.1016/j.molcel.2007.06.023</w:t>
      </w:r>
    </w:p>
    <w:p>
      <w:pPr>
        <w:pStyle w:val="FirstParagraph"/>
      </w:pPr>
      <w:r>
        <w:t xml:space="preserve">See the references in Chapter 9 for Abramson et al. (2024, AlphaFold3)</w:t>
      </w:r>
      <w:r>
        <w:t xml:space="preserve"> </w:t>
      </w:r>
      <w:r>
        <w:t xml:space="preserve">and Lin et al. (2023, ESMFold), and the references in Chapter 10 for</w:t>
      </w:r>
      <w:r>
        <w:t xml:space="preserve"> </w:t>
      </w:r>
      <w:r>
        <w:t xml:space="preserve">Watson et al. (2023, RFdiffusion), Dauparas et al. (2022, ProteinMPNN), and</w:t>
      </w:r>
      <w:r>
        <w:t xml:space="preserve"> </w:t>
      </w:r>
      <w:r>
        <w:t xml:space="preserve">Cutting et al. (2025, antibody-specific</w:t>
      </w:r>
      <w:r>
        <w:t xml:space="preserve"> </w:t>
      </w:r>
      <m:oMath>
        <m:r>
          <m:t>S</m:t>
        </m:r>
        <m:r>
          <m:t>E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diffusion) — all reused</w:t>
      </w:r>
      <w:r>
        <w:t xml:space="preserve"> </w:t>
      </w:r>
      <w:r>
        <w:t xml:space="preserve">directly in this chapter without modification.</w:t>
      </w:r>
      <w:r>
        <w:t xml:space="preserve"> </w:t>
      </w:r>
      <w:r>
        <w:rPr>
          <w:rStyle w:val="VerbatimChar"/>
        </w:rPr>
        <w:t xml:space="preserve">third_party/proteinmpnn/protein_mpnn_utils.py</w:t>
      </w:r>
      <w:r>
        <w:t xml:space="preserve"> </w:t>
      </w:r>
      <w:r>
        <w:t xml:space="preserve">is the real, official</w:t>
      </w:r>
      <w:r>
        <w:t xml:space="preserve"> </w:t>
      </w:r>
      <w:r>
        <w:t xml:space="preserve">ProteinMPNN source code, vendored verbatim under its MIT license</w:t>
      </w:r>
      <w:r>
        <w:t xml:space="preserve"> </w:t>
      </w:r>
      <w:r>
        <w:t xml:space="preserve">(</w:t>
      </w:r>
      <w:r>
        <w:rPr>
          <w:rStyle w:val="VerbatimChar"/>
        </w:rPr>
        <w:t xml:space="preserve">third_party/proteinmpnn/LICENSE</w:t>
      </w:r>
      <w:r>
        <w:t xml:space="preserve">) — see</w:t>
      </w:r>
      <w:r>
        <w:t xml:space="preserve"> </w:t>
      </w:r>
      <w:r>
        <w:rPr>
          <w:rStyle w:val="VerbatimChar"/>
        </w:rPr>
        <w:t xml:space="preserve">third_party/proteinmpnn/NOTICE.md</w:t>
      </w:r>
      <w:r>
        <w:t xml:space="preserve"> </w:t>
      </w:r>
      <w:r>
        <w:t xml:space="preserve">for full attribution. This</w:t>
      </w:r>
      <w:r>
        <w:t xml:space="preserve"> </w:t>
      </w:r>
      <w:r>
        <w:t xml:space="preserve">chapter’s own PRODIGY reimplementation is an independent, from-scratch</w:t>
      </w:r>
      <w:r>
        <w:t xml:space="preserve"> </w:t>
      </w:r>
      <w:r>
        <w:t xml:space="preserve">Python/BioPython port of the published model and the official</w:t>
      </w:r>
      <w:r>
        <w:t xml:space="preserve"> </w:t>
      </w:r>
      <w:r>
        <w:t xml:space="preserve">reference implementation’s residue-classification tables</w:t>
      </w:r>
      <w:r>
        <w:t xml:space="preserve"> </w:t>
      </w:r>
      <w:r>
        <w:t xml:space="preserve">(</w:t>
      </w:r>
      <w:r>
        <w:rPr>
          <w:rStyle w:val="VerbatimChar"/>
        </w:rPr>
        <w:t xml:space="preserve">github.com/haddocking/prodigy</w:t>
      </w:r>
      <w:r>
        <w:t xml:space="preserve">, MIT-licensed); no code from that</w:t>
      </w:r>
      <w:r>
        <w:t xml:space="preserve"> </w:t>
      </w:r>
      <w:r>
        <w:t xml:space="preserve">repository is copied or vendored.</w:t>
      </w:r>
    </w:p>
    <w:p>
      <w:pPr>
        <w:pStyle w:val="BodyText"/>
      </w:pPr>
      <w:r>
        <w:t xml:space="preserve">All epitope/paratope residue counts, recovery rates, RMSD values, and</w:t>
      </w:r>
      <w:r>
        <w:t xml:space="preserve"> </w:t>
      </w:r>
      <w:r>
        <w:t xml:space="preserve">PRODIGY predictions cited in Section 17.2 were computed directly by</w:t>
      </w:r>
      <w:r>
        <w:t xml:space="preserve"> </w:t>
      </w:r>
      <w:r>
        <w:t xml:space="preserve">running</w:t>
      </w:r>
      <w:r>
        <w:t xml:space="preserve"> </w:t>
      </w:r>
      <w:r>
        <w:rPr>
          <w:rStyle w:val="VerbatimChar"/>
        </w:rPr>
        <w:t xml:space="preserve">antibody_design.py</w:t>
      </w:r>
      <w:r>
        <w:t xml:space="preserve"> </w:t>
      </w:r>
      <w:r>
        <w:t xml:space="preserve">against the real bundled PDB structures</w:t>
      </w:r>
      <w:r>
        <w:t xml:space="preserve"> </w:t>
      </w:r>
      <w:r>
        <w:t xml:space="preserve">and the real ProteinMPNN checkpoint on 2026-08-22, not taken from a</w:t>
      </w:r>
      <w:r>
        <w:t xml:space="preserve"> </w:t>
      </w:r>
      <w:r>
        <w:t xml:space="preserve">secondary source — see</w:t>
      </w:r>
      <w:r>
        <w:t xml:space="preserve"> </w:t>
      </w:r>
      <w:r>
        <w:rPr>
          <w:rStyle w:val="VerbatimChar"/>
        </w:rPr>
        <w:t xml:space="preserve">results/antibody_design_results.json</w:t>
      </w:r>
      <w:r>
        <w:t xml:space="preserve"> </w:t>
      </w:r>
      <w:r>
        <w:t xml:space="preserve">to</w:t>
      </w:r>
      <w:r>
        <w:t xml:space="preserve"> </w:t>
      </w:r>
      <w:r>
        <w:t xml:space="preserve">reproduce.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requirements.txt" TargetMode="External" /><Relationship Type="http://schemas.openxmlformats.org/officeDocument/2006/relationships/hyperlink" Id="rId17" Target="tests/test_antibody_design.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requirements.txt" TargetMode="External" /><Relationship Type="http://schemas.openxmlformats.org/officeDocument/2006/relationships/hyperlink" Id="rId17" Target="tests/test_antibody_design.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2026-08-22T15:07:07Z</dcterms:created>
  <dcterms:modified xsi:type="dcterms:W3CDTF">2026-08-22T15:07:07Z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