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DA8CA" w14:textId="6F612446" w:rsidR="006476C0" w:rsidRPr="00F14335" w:rsidRDefault="00C905A0" w:rsidP="00C905A0">
      <w:pPr>
        <w:jc w:val="center"/>
        <w:rPr>
          <w:rFonts w:ascii="LM Roman 10" w:hAnsi="LM Roman 10"/>
          <w:sz w:val="28"/>
          <w:szCs w:val="28"/>
          <w:u w:val="single"/>
        </w:rPr>
      </w:pPr>
      <w:r w:rsidRPr="00F14335">
        <w:rPr>
          <w:rFonts w:ascii="LM Roman 10" w:hAnsi="LM Roman 10"/>
          <w:sz w:val="28"/>
          <w:szCs w:val="28"/>
          <w:u w:val="single"/>
        </w:rPr>
        <w:t>Homework</w:t>
      </w:r>
      <w:r w:rsidR="004E1DE2" w:rsidRPr="00F14335">
        <w:rPr>
          <w:rFonts w:ascii="LM Roman 10" w:hAnsi="LM Roman 10"/>
          <w:sz w:val="28"/>
          <w:szCs w:val="28"/>
          <w:u w:val="single"/>
        </w:rPr>
        <w:t xml:space="preserve"> </w:t>
      </w:r>
      <w:r w:rsidR="00EB3EE5">
        <w:rPr>
          <w:rFonts w:ascii="LM Roman 10" w:hAnsi="LM Roman 10"/>
          <w:sz w:val="28"/>
          <w:szCs w:val="28"/>
          <w:u w:val="single"/>
        </w:rPr>
        <w:t>1</w:t>
      </w:r>
      <w:r w:rsidR="004E1DE2" w:rsidRPr="00F14335">
        <w:rPr>
          <w:rFonts w:ascii="LM Roman 10" w:hAnsi="LM Roman 10"/>
          <w:sz w:val="28"/>
          <w:szCs w:val="28"/>
          <w:u w:val="single"/>
        </w:rPr>
        <w:t xml:space="preserve"> </w:t>
      </w:r>
    </w:p>
    <w:p w14:paraId="32C78349" w14:textId="1E6C360A" w:rsidR="00C14219" w:rsidRDefault="00C14219" w:rsidP="00C905A0">
      <w:pPr>
        <w:jc w:val="center"/>
        <w:rPr>
          <w:rFonts w:ascii="LM Roman 10" w:hAnsi="LM Roman 10"/>
        </w:rPr>
      </w:pPr>
      <w:r w:rsidRPr="00F14335">
        <w:rPr>
          <w:rFonts w:ascii="LM Roman 10" w:hAnsi="LM Roman 10"/>
        </w:rPr>
        <w:t xml:space="preserve">Question </w:t>
      </w:r>
      <w:r w:rsidR="00EB3EE5">
        <w:rPr>
          <w:rFonts w:ascii="LM Roman 10" w:hAnsi="LM Roman 10"/>
        </w:rPr>
        <w:t>5</w:t>
      </w:r>
    </w:p>
    <w:p w14:paraId="3861DB86" w14:textId="77777777" w:rsidR="00AC0FCB" w:rsidRDefault="00AC0FCB" w:rsidP="00C905A0">
      <w:pPr>
        <w:jc w:val="center"/>
        <w:rPr>
          <w:rFonts w:ascii="LM Roman 10" w:hAnsi="LM Roman 10"/>
        </w:rPr>
      </w:pPr>
    </w:p>
    <w:p w14:paraId="57A33B94" w14:textId="5B6DCD5C" w:rsidR="00EB3EE5" w:rsidRPr="00556CF0" w:rsidRDefault="00AC0FCB" w:rsidP="00AC0FCB">
      <w:pPr>
        <w:autoSpaceDE w:val="0"/>
        <w:autoSpaceDN w:val="0"/>
        <w:adjustRightInd w:val="0"/>
        <w:jc w:val="both"/>
        <w:rPr>
          <w:rFonts w:ascii="LM Roman 10" w:hAnsi="LM Roman 10"/>
          <w:i/>
          <w:iCs/>
        </w:rPr>
      </w:pPr>
      <w:r w:rsidRPr="00556CF0">
        <w:rPr>
          <w:rFonts w:ascii="LM Roman 10" w:hAnsi="LM Roman 10" w:cs="Times New Roman"/>
          <w:i/>
          <w:iCs/>
        </w:rPr>
        <w:t>Find the current listing (18th) for the Green500 list for November 2021.Review the system architecture for each of the top 10 systems on this list.</w:t>
      </w:r>
      <w:r w:rsidRPr="00556CF0">
        <w:rPr>
          <w:rFonts w:ascii="LM Roman 10" w:hAnsi="LM Roman 10" w:cs="Times New Roman"/>
          <w:i/>
          <w:iCs/>
        </w:rPr>
        <w:t xml:space="preserve"> </w:t>
      </w:r>
      <w:r w:rsidRPr="00556CF0">
        <w:rPr>
          <w:rFonts w:ascii="LM Roman 10" w:hAnsi="LM Roman 10" w:cs="Times New Roman"/>
          <w:i/>
          <w:iCs/>
        </w:rPr>
        <w:t>Discuss the differences that you see from this list and the list for the Top50</w:t>
      </w:r>
      <w:r w:rsidRPr="00556CF0">
        <w:rPr>
          <w:rFonts w:ascii="LM Roman 10" w:hAnsi="LM Roman 10" w:cs="Times New Roman"/>
          <w:i/>
          <w:iCs/>
        </w:rPr>
        <w:t xml:space="preserve">0 </w:t>
      </w:r>
      <w:r w:rsidRPr="00556CF0">
        <w:rPr>
          <w:rFonts w:ascii="LM Roman 10" w:hAnsi="LM Roman 10" w:cs="Times New Roman"/>
          <w:i/>
          <w:iCs/>
        </w:rPr>
        <w:t>you found in question 4. Also compare it to the 17th Green500 list for June</w:t>
      </w:r>
      <w:r w:rsidRPr="00556CF0">
        <w:rPr>
          <w:rFonts w:ascii="LM Roman 10" w:hAnsi="LM Roman 10" w:cs="Times New Roman"/>
          <w:i/>
          <w:iCs/>
        </w:rPr>
        <w:t xml:space="preserve"> </w:t>
      </w:r>
      <w:r w:rsidRPr="00556CF0">
        <w:rPr>
          <w:rFonts w:ascii="LM Roman 10" w:hAnsi="LM Roman 10" w:cs="Times New Roman"/>
          <w:i/>
          <w:iCs/>
        </w:rPr>
        <w:t>2021.</w:t>
      </w:r>
    </w:p>
    <w:p w14:paraId="5842B3E0" w14:textId="04962B3E" w:rsidR="00C14219" w:rsidRDefault="00C14219" w:rsidP="00EB3EE5">
      <w:pPr>
        <w:jc w:val="both"/>
        <w:rPr>
          <w:rFonts w:ascii="LM Roman 10" w:hAnsi="LM Roman 10"/>
          <w:sz w:val="22"/>
          <w:szCs w:val="22"/>
        </w:rPr>
      </w:pPr>
    </w:p>
    <w:p w14:paraId="1005AC96" w14:textId="78400E24" w:rsidR="00556CF0" w:rsidRDefault="00C038B5" w:rsidP="00EB3EE5">
      <w:pPr>
        <w:jc w:val="both"/>
        <w:rPr>
          <w:rFonts w:ascii="LM Roman 10" w:eastAsia="Times New Roman" w:hAnsi="LM Roman 10" w:cs="Times New Roman"/>
          <w:sz w:val="22"/>
          <w:szCs w:val="22"/>
        </w:rPr>
      </w:pPr>
      <w:r>
        <w:rPr>
          <w:rFonts w:ascii="LM Roman 10" w:hAnsi="LM Roman 10"/>
          <w:sz w:val="22"/>
          <w:szCs w:val="22"/>
        </w:rPr>
        <w:t>Like</w:t>
      </w:r>
      <w:r w:rsidR="00D42D16">
        <w:rPr>
          <w:rFonts w:ascii="LM Roman 10" w:hAnsi="LM Roman 10"/>
          <w:sz w:val="22"/>
          <w:szCs w:val="22"/>
        </w:rPr>
        <w:t xml:space="preserve"> the TOP500, the Green500 list is </w:t>
      </w:r>
      <w:r w:rsidR="00095BC2">
        <w:rPr>
          <w:rFonts w:ascii="LM Roman 10" w:hAnsi="LM Roman 10"/>
          <w:sz w:val="22"/>
          <w:szCs w:val="22"/>
        </w:rPr>
        <w:t>the biannual worldwide ranking of supercomputers</w:t>
      </w:r>
      <w:r w:rsidR="00BD30A4">
        <w:rPr>
          <w:rFonts w:ascii="LM Roman 10" w:hAnsi="LM Roman 10"/>
          <w:sz w:val="22"/>
          <w:szCs w:val="22"/>
        </w:rPr>
        <w:t xml:space="preserve">, but in terms of energy efficiency. The list measures the performance per watt </w:t>
      </w:r>
      <w:r w:rsidR="009171B9">
        <w:rPr>
          <w:rFonts w:ascii="LM Roman 10" w:hAnsi="LM Roman 10"/>
          <w:sz w:val="22"/>
          <w:szCs w:val="22"/>
        </w:rPr>
        <w:t xml:space="preserve">using the same benchmark as the TOP500: </w:t>
      </w:r>
      <w:r w:rsidR="00A90E85">
        <w:rPr>
          <w:rFonts w:ascii="LM Roman 10" w:hAnsi="LM Roman 10"/>
          <w:sz w:val="22"/>
          <w:szCs w:val="22"/>
        </w:rPr>
        <w:t xml:space="preserve">the </w:t>
      </w:r>
      <w:r w:rsidR="00A90E85" w:rsidRPr="00AD2B34">
        <w:rPr>
          <w:rFonts w:ascii="LM Roman 10" w:eastAsia="Times New Roman" w:hAnsi="LM Roman 10" w:cs="Times New Roman"/>
          <w:sz w:val="22"/>
          <w:szCs w:val="22"/>
        </w:rPr>
        <w:t>High Performance LINPACK (HPL) benchmark</w:t>
      </w:r>
      <w:r w:rsidR="00A90E85">
        <w:rPr>
          <w:rFonts w:ascii="LM Roman 10" w:eastAsia="Times New Roman" w:hAnsi="LM Roman 10" w:cs="Times New Roman"/>
          <w:sz w:val="22"/>
          <w:szCs w:val="22"/>
        </w:rPr>
        <w:t>.</w:t>
      </w:r>
    </w:p>
    <w:p w14:paraId="66305BCE" w14:textId="683EECB0" w:rsidR="00C038B5" w:rsidRDefault="00C038B5" w:rsidP="00EB3EE5">
      <w:pPr>
        <w:jc w:val="both"/>
        <w:rPr>
          <w:rFonts w:ascii="LM Roman 10" w:eastAsia="Times New Roman" w:hAnsi="LM Roman 10" w:cs="Times New Roman"/>
          <w:sz w:val="22"/>
          <w:szCs w:val="22"/>
        </w:rPr>
      </w:pPr>
    </w:p>
    <w:p w14:paraId="510B09A2" w14:textId="6E49AB69" w:rsidR="00C038B5" w:rsidRDefault="00C038B5" w:rsidP="00EB3EE5">
      <w:pPr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>From the top 10 results for November 2021, and comparing with the TOP500 and the June 2021 Green500, we observe the following:</w:t>
      </w:r>
    </w:p>
    <w:p w14:paraId="1B41C672" w14:textId="3CDB3772" w:rsidR="00C038B5" w:rsidRDefault="00721F3B" w:rsidP="00721F3B">
      <w:pPr>
        <w:pStyle w:val="ListParagraph"/>
        <w:numPr>
          <w:ilvl w:val="0"/>
          <w:numId w:val="1"/>
        </w:numPr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 xml:space="preserve">Contrary to the TOP500, the Green500 top 10 has a wider variety of locations, </w:t>
      </w:r>
      <w:r w:rsidR="00CE13FC">
        <w:rPr>
          <w:rFonts w:ascii="LM Roman 10" w:hAnsi="LM Roman 10"/>
          <w:sz w:val="22"/>
          <w:szCs w:val="22"/>
        </w:rPr>
        <w:t>including South Korea, the Netherlands or Czechia to name some.</w:t>
      </w:r>
    </w:p>
    <w:p w14:paraId="40EADD97" w14:textId="5ED9832A" w:rsidR="00DC04BC" w:rsidRDefault="00DC04BC" w:rsidP="00721F3B">
      <w:pPr>
        <w:pStyle w:val="ListParagraph"/>
        <w:numPr>
          <w:ilvl w:val="0"/>
          <w:numId w:val="1"/>
        </w:numPr>
        <w:jc w:val="both"/>
        <w:rPr>
          <w:rFonts w:ascii="LM Roman 10" w:hAnsi="LM Roman 10"/>
          <w:sz w:val="22"/>
          <w:szCs w:val="22"/>
        </w:rPr>
      </w:pPr>
      <w:r w:rsidRPr="00AD004B">
        <w:rPr>
          <w:rFonts w:ascii="LM Roman 10" w:hAnsi="LM Roman 10"/>
          <w:sz w:val="22"/>
          <w:szCs w:val="22"/>
        </w:rPr>
        <w:t xml:space="preserve">In terms of architecture, the Cluster model is the dominant </w:t>
      </w:r>
      <w:proofErr w:type="gramStart"/>
      <w:r w:rsidRPr="00AD004B">
        <w:rPr>
          <w:rFonts w:ascii="LM Roman 10" w:hAnsi="LM Roman 10"/>
          <w:sz w:val="22"/>
          <w:szCs w:val="22"/>
        </w:rPr>
        <w:t>one</w:t>
      </w:r>
      <w:proofErr w:type="gramEnd"/>
      <w:r w:rsidRPr="00AD004B">
        <w:rPr>
          <w:rFonts w:ascii="LM Roman 10" w:hAnsi="LM Roman 10"/>
          <w:sz w:val="22"/>
          <w:szCs w:val="22"/>
        </w:rPr>
        <w:t xml:space="preserve"> again, </w:t>
      </w:r>
      <w:r w:rsidR="005B1EA8" w:rsidRPr="00AD004B">
        <w:rPr>
          <w:rFonts w:ascii="LM Roman 10" w:hAnsi="LM Roman 10"/>
          <w:sz w:val="22"/>
          <w:szCs w:val="22"/>
        </w:rPr>
        <w:t>like in the TOP500</w:t>
      </w:r>
      <w:r w:rsidR="00AD004B">
        <w:rPr>
          <w:rFonts w:ascii="LM Roman 10" w:hAnsi="LM Roman 10"/>
          <w:sz w:val="22"/>
          <w:szCs w:val="22"/>
        </w:rPr>
        <w:t>. Both in the November 2021 and June 2021 Green500 top 10 there was only one supercomputer using the MPP architecture.</w:t>
      </w:r>
    </w:p>
    <w:p w14:paraId="5989BC65" w14:textId="6B10803A" w:rsidR="00A675F4" w:rsidRDefault="002B40A1" w:rsidP="00721F3B">
      <w:pPr>
        <w:pStyle w:val="ListParagraph"/>
        <w:numPr>
          <w:ilvl w:val="0"/>
          <w:numId w:val="1"/>
        </w:numPr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>From the chart in Fig.</w:t>
      </w:r>
      <w:proofErr w:type="gramStart"/>
      <w:r>
        <w:rPr>
          <w:rFonts w:ascii="LM Roman 10" w:hAnsi="LM Roman 10"/>
          <w:sz w:val="22"/>
          <w:szCs w:val="22"/>
        </w:rPr>
        <w:t>1</w:t>
      </w:r>
      <w:proofErr w:type="gramEnd"/>
      <w:r>
        <w:rPr>
          <w:rFonts w:ascii="LM Roman 10" w:hAnsi="LM Roman 10"/>
          <w:sz w:val="22"/>
          <w:szCs w:val="22"/>
        </w:rPr>
        <w:t xml:space="preserve"> we can clearly observe that the power efficiency of the supercomputers in the Green500 are considerably higher than the TOP500 ones (except some cases). </w:t>
      </w:r>
      <w:r w:rsidR="002E5BD2">
        <w:rPr>
          <w:rFonts w:ascii="LM Roman 10" w:hAnsi="LM Roman 10"/>
          <w:sz w:val="22"/>
          <w:szCs w:val="22"/>
        </w:rPr>
        <w:t>It is also worth noting that there has been a</w:t>
      </w:r>
      <w:r w:rsidR="007743D6">
        <w:rPr>
          <w:rFonts w:ascii="LM Roman 10" w:hAnsi="LM Roman 10"/>
          <w:sz w:val="22"/>
          <w:szCs w:val="22"/>
        </w:rPr>
        <w:t xml:space="preserve"> noticeable increase</w:t>
      </w:r>
      <w:r w:rsidR="002E5BD2">
        <w:rPr>
          <w:rFonts w:ascii="LM Roman 10" w:hAnsi="LM Roman 10"/>
          <w:sz w:val="22"/>
          <w:szCs w:val="22"/>
        </w:rPr>
        <w:t xml:space="preserve"> in </w:t>
      </w:r>
      <w:r w:rsidR="00AE0396">
        <w:rPr>
          <w:rFonts w:ascii="LM Roman 10" w:hAnsi="LM Roman 10"/>
          <w:sz w:val="22"/>
          <w:szCs w:val="22"/>
        </w:rPr>
        <w:t>power efficiency in the top10 of the Green500 between June and November</w:t>
      </w:r>
      <w:r w:rsidR="00C01EC0">
        <w:rPr>
          <w:rFonts w:ascii="LM Roman 10" w:hAnsi="LM Roman 10"/>
          <w:sz w:val="22"/>
          <w:szCs w:val="22"/>
        </w:rPr>
        <w:t>.</w:t>
      </w:r>
    </w:p>
    <w:p w14:paraId="3FE19746" w14:textId="7BA8EDE5" w:rsidR="00AD004B" w:rsidRDefault="00AD004B" w:rsidP="00ED4E3F">
      <w:pPr>
        <w:jc w:val="both"/>
        <w:rPr>
          <w:rFonts w:ascii="LM Roman 10" w:hAnsi="LM Roman 10"/>
          <w:sz w:val="22"/>
          <w:szCs w:val="22"/>
        </w:rPr>
      </w:pPr>
    </w:p>
    <w:p w14:paraId="1ABB6E4B" w14:textId="62FEB1D1" w:rsidR="00ED4E3F" w:rsidRDefault="00ED4E3F" w:rsidP="00ED4E3F">
      <w:pPr>
        <w:jc w:val="center"/>
        <w:rPr>
          <w:rFonts w:ascii="LM Roman 10" w:hAnsi="LM Roman 10"/>
          <w:sz w:val="22"/>
          <w:szCs w:val="22"/>
        </w:rPr>
      </w:pPr>
      <w:r>
        <w:rPr>
          <w:noProof/>
        </w:rPr>
        <w:drawing>
          <wp:inline distT="0" distB="0" distL="0" distR="0" wp14:anchorId="3BF9FE03" wp14:editId="7FE832D4">
            <wp:extent cx="6238754" cy="2905125"/>
            <wp:effectExtent l="0" t="0" r="0" b="317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85BD456-4B03-184D-A329-FB4E5B065F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FF87E62" w14:textId="51810CEB" w:rsidR="00ED4E3F" w:rsidRPr="00ED4E3F" w:rsidRDefault="00ED4E3F" w:rsidP="00ED4E3F">
      <w:pPr>
        <w:jc w:val="center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>Figure 1: Power efficiency of the top10 supercomputers in each ranking</w:t>
      </w:r>
      <w:r w:rsidR="00A675F4">
        <w:rPr>
          <w:rFonts w:ascii="LM Roman 10" w:hAnsi="LM Roman 10"/>
          <w:sz w:val="22"/>
          <w:szCs w:val="22"/>
        </w:rPr>
        <w:t xml:space="preserve"> (values for the 10</w:t>
      </w:r>
      <w:r w:rsidR="00A675F4" w:rsidRPr="00A675F4">
        <w:rPr>
          <w:rFonts w:ascii="LM Roman 10" w:hAnsi="LM Roman 10"/>
          <w:sz w:val="22"/>
          <w:szCs w:val="22"/>
          <w:vertAlign w:val="superscript"/>
        </w:rPr>
        <w:t>th</w:t>
      </w:r>
      <w:r w:rsidR="00A675F4">
        <w:rPr>
          <w:rFonts w:ascii="LM Roman 10" w:hAnsi="LM Roman 10"/>
          <w:sz w:val="22"/>
          <w:szCs w:val="22"/>
        </w:rPr>
        <w:t xml:space="preserve"> position form the </w:t>
      </w:r>
      <w:proofErr w:type="spellStart"/>
      <w:r w:rsidR="00A675F4">
        <w:rPr>
          <w:rFonts w:ascii="LM Roman 10" w:hAnsi="LM Roman 10"/>
          <w:sz w:val="22"/>
          <w:szCs w:val="22"/>
        </w:rPr>
        <w:t>November</w:t>
      </w:r>
      <w:proofErr w:type="spellEnd"/>
      <w:r w:rsidR="00A675F4">
        <w:rPr>
          <w:rFonts w:ascii="LM Roman 10" w:hAnsi="LM Roman 10"/>
          <w:sz w:val="22"/>
          <w:szCs w:val="22"/>
        </w:rPr>
        <w:t xml:space="preserve"> 2021 TOP500 are not available)</w:t>
      </w:r>
    </w:p>
    <w:sectPr w:rsidR="00ED4E3F" w:rsidRPr="00ED4E3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D3B54" w14:textId="77777777" w:rsidR="008D2C0B" w:rsidRDefault="008D2C0B" w:rsidP="008D2C0B">
      <w:r>
        <w:separator/>
      </w:r>
    </w:p>
  </w:endnote>
  <w:endnote w:type="continuationSeparator" w:id="0">
    <w:p w14:paraId="31605E48" w14:textId="77777777" w:rsidR="008D2C0B" w:rsidRDefault="008D2C0B" w:rsidP="008D2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M Roman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E7F81" w14:textId="77777777" w:rsidR="008D2C0B" w:rsidRDefault="008D2C0B" w:rsidP="008D2C0B">
      <w:r>
        <w:separator/>
      </w:r>
    </w:p>
  </w:footnote>
  <w:footnote w:type="continuationSeparator" w:id="0">
    <w:p w14:paraId="1D0DC5FB" w14:textId="77777777" w:rsidR="008D2C0B" w:rsidRDefault="008D2C0B" w:rsidP="008D2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0E734" w14:textId="1DE3D196" w:rsidR="008D2C0B" w:rsidRPr="004E1DE2" w:rsidRDefault="00024297">
    <w:pPr>
      <w:pStyle w:val="Header"/>
      <w:rPr>
        <w:rFonts w:ascii="LM Roman 10" w:hAnsi="LM Roman 10"/>
        <w:sz w:val="22"/>
        <w:szCs w:val="22"/>
      </w:rPr>
    </w:pPr>
    <w:r w:rsidRPr="004E1DE2">
      <w:rPr>
        <w:rFonts w:ascii="LM Roman 10" w:hAnsi="LM Roman 10"/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2C9A1FBB" wp14:editId="62A72A6F">
          <wp:simplePos x="0" y="0"/>
          <wp:positionH relativeFrom="column">
            <wp:posOffset>4733925</wp:posOffset>
          </wp:positionH>
          <wp:positionV relativeFrom="paragraph">
            <wp:posOffset>-133181</wp:posOffset>
          </wp:positionV>
          <wp:extent cx="1203325" cy="454025"/>
          <wp:effectExtent l="0" t="0" r="3175" b="317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3325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65770" w:rsidRPr="004E1DE2">
      <w:rPr>
        <w:rFonts w:ascii="LM Roman 10" w:hAnsi="LM Roman 10"/>
        <w:sz w:val="22"/>
        <w:szCs w:val="22"/>
      </w:rPr>
      <w:t>Sergi Aliaga</w:t>
    </w:r>
    <w:r w:rsidR="00565770" w:rsidRPr="004E1DE2">
      <w:rPr>
        <w:rFonts w:ascii="LM Roman 10" w:hAnsi="LM Roman 10"/>
        <w:sz w:val="22"/>
        <w:szCs w:val="22"/>
      </w:rPr>
      <w:tab/>
    </w:r>
    <w:r w:rsidR="00565770" w:rsidRPr="004E1DE2">
      <w:rPr>
        <w:rFonts w:ascii="LM Roman 10" w:hAnsi="LM Roman 10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316AE"/>
    <w:multiLevelType w:val="hybridMultilevel"/>
    <w:tmpl w:val="7CE62A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A3"/>
    <w:rsid w:val="00024297"/>
    <w:rsid w:val="000616A3"/>
    <w:rsid w:val="00095BC2"/>
    <w:rsid w:val="002B40A1"/>
    <w:rsid w:val="002E5BD2"/>
    <w:rsid w:val="004E1DE2"/>
    <w:rsid w:val="00556CF0"/>
    <w:rsid w:val="00565770"/>
    <w:rsid w:val="005B1EA8"/>
    <w:rsid w:val="006476C0"/>
    <w:rsid w:val="00721F3B"/>
    <w:rsid w:val="007743D6"/>
    <w:rsid w:val="00844692"/>
    <w:rsid w:val="008D2C0B"/>
    <w:rsid w:val="009171B9"/>
    <w:rsid w:val="00A675F4"/>
    <w:rsid w:val="00A90E85"/>
    <w:rsid w:val="00AB3CFD"/>
    <w:rsid w:val="00AC0FCB"/>
    <w:rsid w:val="00AD004B"/>
    <w:rsid w:val="00AE0396"/>
    <w:rsid w:val="00B30789"/>
    <w:rsid w:val="00BD30A4"/>
    <w:rsid w:val="00C01EC0"/>
    <w:rsid w:val="00C038B5"/>
    <w:rsid w:val="00C14219"/>
    <w:rsid w:val="00C905A0"/>
    <w:rsid w:val="00CE13FC"/>
    <w:rsid w:val="00D42D16"/>
    <w:rsid w:val="00DC04BC"/>
    <w:rsid w:val="00EB3EE5"/>
    <w:rsid w:val="00ED4E3F"/>
    <w:rsid w:val="00F1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62C38"/>
  <w15:chartTrackingRefBased/>
  <w15:docId w15:val="{8A5EEEC6-D792-FB48-BA68-CE4B1592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C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2C0B"/>
  </w:style>
  <w:style w:type="paragraph" w:styleId="Footer">
    <w:name w:val="footer"/>
    <w:basedOn w:val="Normal"/>
    <w:link w:val="FooterChar"/>
    <w:uiPriority w:val="99"/>
    <w:unhideWhenUsed/>
    <w:rsid w:val="008D2C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C0B"/>
  </w:style>
  <w:style w:type="paragraph" w:styleId="ListParagraph">
    <w:name w:val="List Paragraph"/>
    <w:basedOn w:val="Normal"/>
    <w:uiPriority w:val="34"/>
    <w:qFormat/>
    <w:rsid w:val="00721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iaga.s/Downloads/green500_top_20210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Power</a:t>
            </a:r>
            <a:r>
              <a:rPr lang="en-US" baseline="0"/>
              <a:t> e</a:t>
            </a:r>
            <a:r>
              <a:rPr lang="en-US"/>
              <a:t>fficiency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Green500 June2021</c:v>
          </c:tx>
          <c:spPr>
            <a:ln w="19050" cap="rnd">
              <a:solidFill>
                <a:srgbClr val="92D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92D050"/>
              </a:solidFill>
              <a:ln w="9525">
                <a:solidFill>
                  <a:srgbClr val="92D050"/>
                </a:solidFill>
              </a:ln>
              <a:effectLst/>
            </c:spPr>
          </c:marker>
          <c:xVal>
            <c:numRef>
              <c:f>'57'!$A$20:$A$29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'57'!$B$20:$B$29</c:f>
              <c:numCache>
                <c:formatCode>#,##0.00</c:formatCode>
                <c:ptCount val="10"/>
                <c:pt idx="0">
                  <c:v>29.700130380000001</c:v>
                </c:pt>
                <c:pt idx="1">
                  <c:v>29.521308550000001</c:v>
                </c:pt>
                <c:pt idx="2">
                  <c:v>28.14440729</c:v>
                </c:pt>
                <c:pt idx="3">
                  <c:v>26.957078800000001</c:v>
                </c:pt>
                <c:pt idx="4">
                  <c:v>26.19524127</c:v>
                </c:pt>
                <c:pt idx="5">
                  <c:v>25.54984177</c:v>
                </c:pt>
                <c:pt idx="6">
                  <c:v>25.008218930000002</c:v>
                </c:pt>
                <c:pt idx="7">
                  <c:v>24.290549339999998</c:v>
                </c:pt>
                <c:pt idx="8">
                  <c:v>24.262481090000001</c:v>
                </c:pt>
                <c:pt idx="9">
                  <c:v>24.05806557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30B-C340-B1F4-860C5C62F687}"/>
            </c:ext>
          </c:extLst>
        </c:ser>
        <c:ser>
          <c:idx val="1"/>
          <c:order val="1"/>
          <c:tx>
            <c:v>Green 500 November 2021</c:v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xVal>
            <c:numRef>
              <c:f>'57'!$A$20:$A$29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'57'!$C$20:$C$29</c:f>
              <c:numCache>
                <c:formatCode>#,##0.00</c:formatCode>
                <c:ptCount val="10"/>
                <c:pt idx="0">
                  <c:v>39.37894927</c:v>
                </c:pt>
                <c:pt idx="1">
                  <c:v>33.982725600000002</c:v>
                </c:pt>
                <c:pt idx="2">
                  <c:v>31.53846154</c:v>
                </c:pt>
                <c:pt idx="3">
                  <c:v>30.797199030000002</c:v>
                </c:pt>
                <c:pt idx="4">
                  <c:v>29.521308550000001</c:v>
                </c:pt>
                <c:pt idx="5">
                  <c:v>29.046173509999999</c:v>
                </c:pt>
                <c:pt idx="6">
                  <c:v>27.373503280000001</c:v>
                </c:pt>
                <c:pt idx="7">
                  <c:v>27.213478160000001</c:v>
                </c:pt>
                <c:pt idx="8">
                  <c:v>26.957078800000001</c:v>
                </c:pt>
                <c:pt idx="9">
                  <c:v>26.19524127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30B-C340-B1F4-860C5C62F687}"/>
            </c:ext>
          </c:extLst>
        </c:ser>
        <c:ser>
          <c:idx val="2"/>
          <c:order val="2"/>
          <c:tx>
            <c:v>TOP500 November 2021</c:v>
          </c:tx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xVal>
            <c:numRef>
              <c:f>'57'!$A$20:$A$29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'57'!$D$20:$D$29</c:f>
              <c:numCache>
                <c:formatCode>#,##0.00</c:formatCode>
                <c:ptCount val="10"/>
                <c:pt idx="0">
                  <c:v>14.78332385</c:v>
                </c:pt>
                <c:pt idx="1">
                  <c:v>14.718700480000001</c:v>
                </c:pt>
                <c:pt idx="2">
                  <c:v>12.72337153</c:v>
                </c:pt>
                <c:pt idx="3">
                  <c:v>6.0513040059999996</c:v>
                </c:pt>
                <c:pt idx="4">
                  <c:v>27.373503280000001</c:v>
                </c:pt>
                <c:pt idx="5">
                  <c:v>23.983371129999998</c:v>
                </c:pt>
                <c:pt idx="6">
                  <c:v>3.3245590300000001</c:v>
                </c:pt>
                <c:pt idx="7">
                  <c:v>25.008218930000002</c:v>
                </c:pt>
                <c:pt idx="8">
                  <c:v>15.740374839999999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30B-C340-B1F4-860C5C62F6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958639"/>
        <c:axId val="80984367"/>
      </c:scatterChart>
      <c:valAx>
        <c:axId val="80958639"/>
        <c:scaling>
          <c:orientation val="maxMin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984367"/>
        <c:crosses val="autoZero"/>
        <c:crossBetween val="midCat"/>
      </c:valAx>
      <c:valAx>
        <c:axId val="80984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Power Eficiency</a:t>
                </a:r>
                <a:r>
                  <a:rPr lang="en-US" baseline="0"/>
                  <a:t> (GFlops/Watt)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958639"/>
        <c:crosses val="max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E5CA88-14BF-7244-BA92-ED6193C9A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Aliaga</dc:creator>
  <cp:keywords/>
  <dc:description/>
  <cp:lastModifiedBy>Sergi Aliaga</cp:lastModifiedBy>
  <cp:revision>25</cp:revision>
  <dcterms:created xsi:type="dcterms:W3CDTF">2022-01-26T21:10:00Z</dcterms:created>
  <dcterms:modified xsi:type="dcterms:W3CDTF">2022-02-03T22:14:00Z</dcterms:modified>
</cp:coreProperties>
</file>