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A8CA" w14:textId="2DE04EE7" w:rsidR="006476C0" w:rsidRPr="001154AE" w:rsidRDefault="00C905A0" w:rsidP="00C905A0">
      <w:pPr>
        <w:jc w:val="center"/>
        <w:rPr>
          <w:rFonts w:ascii="LM Roman 10" w:hAnsi="LM Roman 10"/>
          <w:sz w:val="28"/>
          <w:szCs w:val="28"/>
          <w:u w:val="single"/>
        </w:rPr>
      </w:pPr>
      <w:r w:rsidRPr="001154AE">
        <w:rPr>
          <w:rFonts w:ascii="LM Roman 10" w:hAnsi="LM Roman 10"/>
          <w:sz w:val="28"/>
          <w:szCs w:val="28"/>
          <w:u w:val="single"/>
        </w:rPr>
        <w:t>Homework</w:t>
      </w:r>
      <w:r w:rsidR="004E1DE2" w:rsidRPr="001154AE">
        <w:rPr>
          <w:rFonts w:ascii="LM Roman 10" w:hAnsi="LM Roman 10"/>
          <w:sz w:val="28"/>
          <w:szCs w:val="28"/>
          <w:u w:val="single"/>
        </w:rPr>
        <w:t xml:space="preserve"> </w:t>
      </w:r>
      <w:r w:rsidR="007040E1">
        <w:rPr>
          <w:rFonts w:ascii="LM Roman 10" w:hAnsi="LM Roman 10"/>
          <w:sz w:val="28"/>
          <w:szCs w:val="28"/>
          <w:u w:val="single"/>
        </w:rPr>
        <w:t>3</w:t>
      </w:r>
      <w:r w:rsidR="004E1DE2" w:rsidRPr="001154AE">
        <w:rPr>
          <w:rFonts w:ascii="LM Roman 10" w:hAnsi="LM Roman 10"/>
          <w:sz w:val="28"/>
          <w:szCs w:val="28"/>
          <w:u w:val="single"/>
        </w:rPr>
        <w:t xml:space="preserve"> </w:t>
      </w:r>
    </w:p>
    <w:p w14:paraId="32C78349" w14:textId="58077A2C" w:rsidR="00C14219" w:rsidRPr="001154AE" w:rsidRDefault="00C14219" w:rsidP="00C905A0">
      <w:pPr>
        <w:jc w:val="center"/>
        <w:rPr>
          <w:rFonts w:ascii="LM Roman 10" w:hAnsi="LM Roman 10"/>
        </w:rPr>
      </w:pPr>
      <w:r w:rsidRPr="001154AE">
        <w:rPr>
          <w:rFonts w:ascii="LM Roman 10" w:hAnsi="LM Roman 10"/>
        </w:rPr>
        <w:t xml:space="preserve">Question </w:t>
      </w:r>
      <w:r w:rsidR="007040E1">
        <w:rPr>
          <w:rFonts w:ascii="LM Roman 10" w:hAnsi="LM Roman 10"/>
        </w:rPr>
        <w:t>1</w:t>
      </w:r>
    </w:p>
    <w:p w14:paraId="5842B3E0" w14:textId="05D1DF03" w:rsidR="00C14219" w:rsidRDefault="00C14219" w:rsidP="00474D6C">
      <w:pPr>
        <w:jc w:val="both"/>
        <w:rPr>
          <w:rFonts w:ascii="LM Roman 10" w:hAnsi="LM Roman 10"/>
          <w:sz w:val="22"/>
          <w:szCs w:val="22"/>
        </w:rPr>
      </w:pPr>
    </w:p>
    <w:p w14:paraId="04A5E95B" w14:textId="4F13469B" w:rsidR="00474D6C" w:rsidRPr="00CF1CB9" w:rsidRDefault="006567E9" w:rsidP="00474D6C">
      <w:pPr>
        <w:autoSpaceDE w:val="0"/>
        <w:autoSpaceDN w:val="0"/>
        <w:adjustRightInd w:val="0"/>
        <w:jc w:val="both"/>
        <w:rPr>
          <w:rFonts w:ascii="LM Roman 10" w:hAnsi="LM Roman 10" w:cs="Times New Roman"/>
          <w:i/>
          <w:iCs/>
          <w:sz w:val="22"/>
          <w:szCs w:val="22"/>
        </w:rPr>
      </w:pPr>
      <w:r w:rsidRPr="00CF1CB9">
        <w:rPr>
          <w:rFonts w:ascii="LM Roman 10" w:hAnsi="LM Roman 10" w:cs="Times New Roman"/>
          <w:i/>
          <w:iCs/>
          <w:sz w:val="22"/>
          <w:szCs w:val="22"/>
        </w:rPr>
        <w:t>In this pro</w:t>
      </w:r>
      <w:r w:rsidR="007040E1" w:rsidRPr="00CF1CB9">
        <w:rPr>
          <w:rFonts w:ascii="LM Roman 10" w:hAnsi="LM Roman 10" w:cs="Times New Roman"/>
          <w:i/>
          <w:iCs/>
          <w:sz w:val="22"/>
          <w:szCs w:val="22"/>
        </w:rPr>
        <w:t xml:space="preserve">blem, </w:t>
      </w:r>
      <w:r w:rsidR="00474D6C" w:rsidRPr="00CF1CB9">
        <w:rPr>
          <w:rFonts w:ascii="LM Roman 10" w:hAnsi="LM Roman 10" w:cs="Times New Roman"/>
          <w:i/>
          <w:iCs/>
          <w:sz w:val="22"/>
          <w:szCs w:val="22"/>
        </w:rPr>
        <w:t>you will utilize the IEEE 754 format and evaluate the</w:t>
      </w:r>
      <w:r w:rsidR="00474D6C" w:rsidRPr="00CF1CB9">
        <w:rPr>
          <w:rFonts w:ascii="LM Roman 10" w:hAnsi="LM Roman 10" w:cs="Times New Roman"/>
          <w:i/>
          <w:iCs/>
          <w:sz w:val="22"/>
          <w:szCs w:val="22"/>
        </w:rPr>
        <w:t xml:space="preserve"> </w:t>
      </w:r>
      <w:r w:rsidR="00474D6C" w:rsidRPr="00CF1CB9">
        <w:rPr>
          <w:rFonts w:ascii="LM Roman 10" w:hAnsi="LM Roman 10" w:cs="Times New Roman"/>
          <w:i/>
          <w:iCs/>
          <w:sz w:val="22"/>
          <w:szCs w:val="22"/>
        </w:rPr>
        <w:t>performance implications of using floats versus doubles in a computation.</w:t>
      </w:r>
    </w:p>
    <w:p w14:paraId="3188818D" w14:textId="77777777" w:rsidR="00474D6C" w:rsidRPr="00CF1CB9" w:rsidRDefault="00474D6C" w:rsidP="00474D6C">
      <w:pPr>
        <w:autoSpaceDE w:val="0"/>
        <w:autoSpaceDN w:val="0"/>
        <w:adjustRightInd w:val="0"/>
        <w:jc w:val="both"/>
        <w:rPr>
          <w:rFonts w:ascii="LM Roman 10" w:hAnsi="LM Roman 10" w:cs="Times New Roman"/>
          <w:i/>
          <w:iCs/>
          <w:sz w:val="22"/>
          <w:szCs w:val="22"/>
        </w:rPr>
      </w:pPr>
    </w:p>
    <w:p w14:paraId="3FE1D3C2" w14:textId="0CF3A588" w:rsidR="00474D6C" w:rsidRPr="00CF1CB9" w:rsidRDefault="00474D6C" w:rsidP="00474D6C">
      <w:pPr>
        <w:pStyle w:val="ListParagraph"/>
        <w:numPr>
          <w:ilvl w:val="0"/>
          <w:numId w:val="5"/>
        </w:numPr>
        <w:autoSpaceDE w:val="0"/>
        <w:autoSpaceDN w:val="0"/>
        <w:adjustRightInd w:val="0"/>
        <w:jc w:val="both"/>
        <w:rPr>
          <w:rFonts w:ascii="LM Roman 10" w:hAnsi="LM Roman 10" w:cs="Times New Roman"/>
          <w:i/>
          <w:iCs/>
          <w:sz w:val="22"/>
          <w:szCs w:val="22"/>
        </w:rPr>
      </w:pPr>
      <w:r w:rsidRPr="00CF1CB9">
        <w:rPr>
          <w:rFonts w:ascii="LM Roman 10" w:hAnsi="LM Roman 10" w:cs="Times New Roman"/>
          <w:i/>
          <w:iCs/>
          <w:sz w:val="22"/>
          <w:szCs w:val="22"/>
        </w:rPr>
        <w:t>Compute f(x) = sin (x) using a Taylor series expansion. You select the number of terms you want to compute (but at least 10 terms).</w:t>
      </w:r>
      <w:r w:rsidRPr="00CF1CB9">
        <w:rPr>
          <w:rFonts w:ascii="LM Roman 10" w:hAnsi="LM Roman 10" w:cs="Times New Roman"/>
          <w:i/>
          <w:iCs/>
          <w:sz w:val="22"/>
          <w:szCs w:val="22"/>
        </w:rPr>
        <w:t xml:space="preserve"> </w:t>
      </w:r>
      <w:r w:rsidRPr="00CF1CB9">
        <w:rPr>
          <w:rFonts w:ascii="LM Roman 10" w:hAnsi="LM Roman 10" w:cs="Times New Roman"/>
          <w:i/>
          <w:iCs/>
          <w:sz w:val="22"/>
          <w:szCs w:val="22"/>
        </w:rPr>
        <w:t>Compute sin(x) for 4 different values, though be careful not to use too large a value.</w:t>
      </w:r>
      <w:r w:rsidRPr="00CF1CB9">
        <w:rPr>
          <w:rFonts w:ascii="LM Roman 10" w:hAnsi="LM Roman 10" w:cs="Times New Roman"/>
          <w:i/>
          <w:iCs/>
          <w:sz w:val="22"/>
          <w:szCs w:val="22"/>
        </w:rPr>
        <w:t xml:space="preserve"> </w:t>
      </w:r>
      <w:r w:rsidRPr="00CF1CB9">
        <w:rPr>
          <w:rFonts w:ascii="LM Roman 10" w:hAnsi="LM Roman 10" w:cs="Times New Roman"/>
          <w:i/>
          <w:iCs/>
          <w:sz w:val="22"/>
          <w:szCs w:val="22"/>
        </w:rPr>
        <w:t>Generate two versions of your code, first defining x and sin(x) to use floats (SP),</w:t>
      </w:r>
      <w:r w:rsidRPr="00CF1CB9">
        <w:rPr>
          <w:rFonts w:ascii="LM Roman 10" w:hAnsi="LM Roman 10" w:cs="Times New Roman"/>
          <w:i/>
          <w:iCs/>
          <w:sz w:val="22"/>
          <w:szCs w:val="22"/>
        </w:rPr>
        <w:t xml:space="preserve"> </w:t>
      </w:r>
      <w:r w:rsidRPr="00CF1CB9">
        <w:rPr>
          <w:rFonts w:ascii="LM Roman 10" w:hAnsi="LM Roman 10" w:cs="Times New Roman"/>
          <w:i/>
          <w:iCs/>
          <w:sz w:val="22"/>
          <w:szCs w:val="22"/>
        </w:rPr>
        <w:t>and second, defining them as doubles (DP). Discuss any differences you find in</w:t>
      </w:r>
      <w:r w:rsidRPr="00CF1CB9">
        <w:rPr>
          <w:rFonts w:ascii="LM Roman 10" w:hAnsi="LM Roman 10" w:cs="Times New Roman"/>
          <w:i/>
          <w:iCs/>
          <w:sz w:val="22"/>
          <w:szCs w:val="22"/>
        </w:rPr>
        <w:t xml:space="preserve"> </w:t>
      </w:r>
      <w:r w:rsidRPr="00CF1CB9">
        <w:rPr>
          <w:rFonts w:ascii="LM Roman 10" w:hAnsi="LM Roman 10" w:cs="Times New Roman"/>
          <w:i/>
          <w:iCs/>
          <w:sz w:val="22"/>
          <w:szCs w:val="22"/>
        </w:rPr>
        <w:t>your results for f(x). You should provide an in-depth discussion on the results you</w:t>
      </w:r>
      <w:r w:rsidRPr="00CF1CB9">
        <w:rPr>
          <w:rFonts w:ascii="LM Roman 10" w:hAnsi="LM Roman 10" w:cs="Times New Roman"/>
          <w:i/>
          <w:iCs/>
          <w:sz w:val="22"/>
          <w:szCs w:val="22"/>
        </w:rPr>
        <w:t xml:space="preserve"> </w:t>
      </w:r>
      <w:r w:rsidRPr="00CF1CB9">
        <w:rPr>
          <w:rFonts w:ascii="LM Roman 10" w:hAnsi="LM Roman 10" w:cs="Times New Roman"/>
          <w:i/>
          <w:iCs/>
          <w:sz w:val="22"/>
          <w:szCs w:val="22"/>
        </w:rPr>
        <w:t>get and the reasons for any differences</w:t>
      </w:r>
      <w:r w:rsidRPr="00CF1CB9">
        <w:rPr>
          <w:rFonts w:ascii="LM Roman 10" w:hAnsi="LM Roman 10" w:cs="Times New Roman"/>
          <w:i/>
          <w:iCs/>
          <w:sz w:val="22"/>
          <w:szCs w:val="22"/>
        </w:rPr>
        <w:t>.</w:t>
      </w:r>
    </w:p>
    <w:p w14:paraId="7A2215EA" w14:textId="31E0C225" w:rsidR="00E13352" w:rsidRPr="00077109" w:rsidRDefault="00E13352" w:rsidP="00077109">
      <w:pPr>
        <w:autoSpaceDE w:val="0"/>
        <w:autoSpaceDN w:val="0"/>
        <w:adjustRightInd w:val="0"/>
        <w:jc w:val="both"/>
        <w:rPr>
          <w:rFonts w:ascii="LM Roman 10" w:hAnsi="LM Roman 10" w:cs="Times New Roman"/>
          <w:sz w:val="22"/>
          <w:szCs w:val="22"/>
        </w:rPr>
      </w:pPr>
      <w:r w:rsidRPr="00077109">
        <w:rPr>
          <w:rFonts w:ascii="LM Roman 10" w:hAnsi="LM Roman 10" w:cs="Times New Roman"/>
          <w:sz w:val="22"/>
          <w:szCs w:val="22"/>
        </w:rPr>
        <w:t>For this part of the assignment</w:t>
      </w:r>
      <w:r w:rsidR="00CF1CB9" w:rsidRPr="00077109">
        <w:rPr>
          <w:rFonts w:ascii="LM Roman 10" w:hAnsi="LM Roman 10" w:cs="Times New Roman"/>
          <w:sz w:val="22"/>
          <w:szCs w:val="22"/>
        </w:rPr>
        <w:t xml:space="preserve"> </w:t>
      </w:r>
      <w:r w:rsidR="0056766B" w:rsidRPr="00077109">
        <w:rPr>
          <w:rFonts w:ascii="LM Roman 10" w:hAnsi="LM Roman 10" w:cs="Times New Roman"/>
          <w:sz w:val="22"/>
          <w:szCs w:val="22"/>
        </w:rPr>
        <w:t>the included script “Q1a.c” has been implemented. This script computes the sin(x) of four values</w:t>
      </w:r>
      <w:r w:rsidR="007D4094" w:rsidRPr="00077109">
        <w:rPr>
          <w:rFonts w:ascii="LM Roman 10" w:hAnsi="LM Roman 10" w:cs="Times New Roman"/>
          <w:sz w:val="22"/>
          <w:szCs w:val="22"/>
        </w:rPr>
        <w:t xml:space="preserve"> wit NTERMS number of terms for both SP and DP and compares the average computing time between </w:t>
      </w:r>
      <w:r w:rsidR="005F371C" w:rsidRPr="00077109">
        <w:rPr>
          <w:rFonts w:ascii="LM Roman 10" w:hAnsi="LM Roman 10" w:cs="Times New Roman"/>
          <w:sz w:val="22"/>
          <w:szCs w:val="22"/>
        </w:rPr>
        <w:t xml:space="preserve">the two formats. </w:t>
      </w:r>
    </w:p>
    <w:p w14:paraId="1684CFC6" w14:textId="0023999A" w:rsidR="00A948D7" w:rsidRDefault="00A948D7" w:rsidP="00E13352">
      <w:pPr>
        <w:pStyle w:val="ListParagraph"/>
        <w:autoSpaceDE w:val="0"/>
        <w:autoSpaceDN w:val="0"/>
        <w:adjustRightInd w:val="0"/>
        <w:jc w:val="both"/>
        <w:rPr>
          <w:rFonts w:ascii="LM Roman 10" w:hAnsi="LM Roman 10" w:cs="Times New Roman"/>
          <w:sz w:val="22"/>
          <w:szCs w:val="22"/>
        </w:rPr>
      </w:pPr>
    </w:p>
    <w:p w14:paraId="70C86509" w14:textId="6D47DFDC" w:rsidR="00A948D7" w:rsidRPr="00077109" w:rsidRDefault="00302F2C" w:rsidP="00077109">
      <w:pPr>
        <w:autoSpaceDE w:val="0"/>
        <w:autoSpaceDN w:val="0"/>
        <w:adjustRightInd w:val="0"/>
        <w:jc w:val="both"/>
        <w:rPr>
          <w:rFonts w:ascii="LM Roman 10" w:hAnsi="LM Roman 10" w:cs="Times New Roman"/>
          <w:sz w:val="22"/>
          <w:szCs w:val="22"/>
        </w:rPr>
      </w:pPr>
      <w:r w:rsidRPr="00077109">
        <w:rPr>
          <w:rFonts w:ascii="LM Roman 10" w:hAnsi="LM Roman 10" w:cs="Times New Roman"/>
          <w:sz w:val="22"/>
          <w:szCs w:val="22"/>
        </w:rPr>
        <w:t xml:space="preserve">In “Q1a.c” we implemented the computation of the factorial with two functions (one for SP and one for DP) and </w:t>
      </w:r>
      <w:r w:rsidR="003501EB" w:rsidRPr="00077109">
        <w:rPr>
          <w:rFonts w:ascii="LM Roman 10" w:hAnsi="LM Roman 10" w:cs="Times New Roman"/>
          <w:sz w:val="22"/>
          <w:szCs w:val="22"/>
        </w:rPr>
        <w:t>compute the powers of x with the “pow” function included in the “</w:t>
      </w:r>
      <w:proofErr w:type="spellStart"/>
      <w:r w:rsidR="003501EB" w:rsidRPr="00077109">
        <w:rPr>
          <w:rFonts w:ascii="LM Roman 10" w:hAnsi="LM Roman 10" w:cs="Times New Roman"/>
          <w:sz w:val="22"/>
          <w:szCs w:val="22"/>
        </w:rPr>
        <w:t>math.h</w:t>
      </w:r>
      <w:proofErr w:type="spellEnd"/>
      <w:r w:rsidR="003501EB" w:rsidRPr="00077109">
        <w:rPr>
          <w:rFonts w:ascii="LM Roman 10" w:hAnsi="LM Roman 10" w:cs="Times New Roman"/>
          <w:sz w:val="22"/>
          <w:szCs w:val="22"/>
        </w:rPr>
        <w:t xml:space="preserve">” library. This results in the computation of the entire factorial and power at each iteration of the sum, which is not the most efficient. For this reason, a second version named “Q1a_eff.c” has been implemented. In this version, two global variables are </w:t>
      </w:r>
      <w:r w:rsidR="00A94712">
        <w:rPr>
          <w:rFonts w:ascii="LM Roman 10" w:hAnsi="LM Roman 10" w:cs="Times New Roman"/>
          <w:sz w:val="22"/>
          <w:szCs w:val="22"/>
        </w:rPr>
        <w:t>declared</w:t>
      </w:r>
      <w:r w:rsidR="003501EB" w:rsidRPr="00077109">
        <w:rPr>
          <w:rFonts w:ascii="LM Roman 10" w:hAnsi="LM Roman 10" w:cs="Times New Roman"/>
          <w:sz w:val="22"/>
          <w:szCs w:val="22"/>
        </w:rPr>
        <w:t xml:space="preserve"> before the loop, one for the </w:t>
      </w:r>
      <w:r w:rsidR="003705EC" w:rsidRPr="00077109">
        <w:rPr>
          <w:rFonts w:ascii="LM Roman 10" w:hAnsi="LM Roman 10" w:cs="Times New Roman"/>
          <w:sz w:val="22"/>
          <w:szCs w:val="22"/>
        </w:rPr>
        <w:t>factorial</w:t>
      </w:r>
      <w:r w:rsidR="003501EB" w:rsidRPr="00077109">
        <w:rPr>
          <w:rFonts w:ascii="LM Roman 10" w:hAnsi="LM Roman 10" w:cs="Times New Roman"/>
          <w:sz w:val="22"/>
          <w:szCs w:val="22"/>
        </w:rPr>
        <w:t xml:space="preserve"> and one for the </w:t>
      </w:r>
      <w:r w:rsidR="003705EC" w:rsidRPr="00077109">
        <w:rPr>
          <w:rFonts w:ascii="LM Roman 10" w:hAnsi="LM Roman 10" w:cs="Times New Roman"/>
          <w:sz w:val="22"/>
          <w:szCs w:val="22"/>
        </w:rPr>
        <w:t>power, and they are updated by two multiplications in each iteration.</w:t>
      </w:r>
    </w:p>
    <w:p w14:paraId="6AF7E9B7" w14:textId="43CE0804" w:rsidR="001B6759" w:rsidRPr="00077109" w:rsidRDefault="001B6759" w:rsidP="00077109">
      <w:pPr>
        <w:pStyle w:val="ListParagraph"/>
        <w:autoSpaceDE w:val="0"/>
        <w:autoSpaceDN w:val="0"/>
        <w:adjustRightInd w:val="0"/>
        <w:jc w:val="both"/>
        <w:rPr>
          <w:rFonts w:ascii="LM Roman 10" w:hAnsi="LM Roman 10" w:cs="Times New Roman"/>
          <w:sz w:val="22"/>
          <w:szCs w:val="22"/>
        </w:rPr>
      </w:pPr>
    </w:p>
    <w:p w14:paraId="2D2E7BB6" w14:textId="1ABC8963" w:rsidR="00077109" w:rsidRDefault="0032349C" w:rsidP="00077109">
      <w:pPr>
        <w:jc w:val="both"/>
        <w:rPr>
          <w:rFonts w:ascii="LM Roman 10" w:eastAsia="Times New Roman" w:hAnsi="LM Roman 10" w:cs="Times New Roman"/>
          <w:sz w:val="22"/>
          <w:szCs w:val="22"/>
        </w:rPr>
      </w:pPr>
      <w:r w:rsidRPr="00077109">
        <w:rPr>
          <w:rFonts w:ascii="LM Roman 10" w:hAnsi="LM Roman 10" w:cs="Times New Roman"/>
          <w:sz w:val="22"/>
          <w:szCs w:val="22"/>
        </w:rPr>
        <w:t xml:space="preserve">As indicated in a discussion with a </w:t>
      </w:r>
      <w:r w:rsidR="006F7787" w:rsidRPr="00077109">
        <w:rPr>
          <w:rFonts w:ascii="LM Roman 10" w:hAnsi="LM Roman 10" w:cs="Times New Roman"/>
          <w:sz w:val="22"/>
          <w:szCs w:val="22"/>
        </w:rPr>
        <w:t>classmate</w:t>
      </w:r>
      <w:r w:rsidRPr="00077109">
        <w:rPr>
          <w:rFonts w:ascii="LM Roman 10" w:hAnsi="LM Roman 10" w:cs="Times New Roman"/>
          <w:sz w:val="22"/>
          <w:szCs w:val="22"/>
        </w:rPr>
        <w:t xml:space="preserve"> in Piazza</w:t>
      </w:r>
      <w:r w:rsidR="006F7787" w:rsidRPr="00077109">
        <w:rPr>
          <w:rFonts w:ascii="LM Roman 10" w:hAnsi="LM Roman 10" w:cs="Times New Roman"/>
          <w:sz w:val="22"/>
          <w:szCs w:val="22"/>
        </w:rPr>
        <w:t xml:space="preserve"> (</w:t>
      </w:r>
      <w:proofErr w:type="spellStart"/>
      <w:r w:rsidR="006F7787" w:rsidRPr="00077109">
        <w:rPr>
          <w:rFonts w:ascii="LM Roman 10" w:hAnsi="LM Roman 10" w:cs="Times New Roman"/>
          <w:sz w:val="22"/>
          <w:szCs w:val="22"/>
        </w:rPr>
        <w:t>Zehuan</w:t>
      </w:r>
      <w:proofErr w:type="spellEnd"/>
      <w:r w:rsidR="006F7787" w:rsidRPr="00077109">
        <w:rPr>
          <w:rFonts w:ascii="LM Roman 10" w:hAnsi="LM Roman 10" w:cs="Times New Roman"/>
          <w:sz w:val="22"/>
          <w:szCs w:val="22"/>
        </w:rPr>
        <w:t xml:space="preserve"> Liu)</w:t>
      </w:r>
      <w:r w:rsidRPr="00077109">
        <w:rPr>
          <w:rFonts w:ascii="LM Roman 10" w:hAnsi="LM Roman 10" w:cs="Times New Roman"/>
          <w:sz w:val="22"/>
          <w:szCs w:val="22"/>
        </w:rPr>
        <w:t xml:space="preserve">, </w:t>
      </w:r>
      <w:r w:rsidR="006F7787" w:rsidRPr="00077109">
        <w:rPr>
          <w:rFonts w:ascii="LM Roman 10" w:hAnsi="LM Roman 10" w:cs="Times New Roman"/>
          <w:sz w:val="22"/>
          <w:szCs w:val="22"/>
        </w:rPr>
        <w:t xml:space="preserve">he outlined that </w:t>
      </w:r>
      <w:r w:rsidR="00C9077C">
        <w:rPr>
          <w:rFonts w:ascii="LM Roman 10" w:hAnsi="LM Roman 10" w:cs="Times New Roman"/>
          <w:sz w:val="22"/>
          <w:szCs w:val="22"/>
        </w:rPr>
        <w:t>“</w:t>
      </w:r>
      <w:r w:rsidR="00077109" w:rsidRPr="00077109">
        <w:rPr>
          <w:rFonts w:ascii="LM Roman 10" w:eastAsia="Times New Roman" w:hAnsi="LM Roman 10" w:cs="Times New Roman"/>
          <w:sz w:val="22"/>
          <w:szCs w:val="22"/>
        </w:rPr>
        <w:t>x86-64 supports both SSE and SSE2. So, in terms of float-point addition, subtraction and multiplication, SP and DP should perform similarly and sometimes DP even out-performs SP. Then the main drag should come from float-point division. Assum</w:t>
      </w:r>
      <w:r w:rsidR="00C9077C">
        <w:rPr>
          <w:rFonts w:ascii="LM Roman 10" w:eastAsia="Times New Roman" w:hAnsi="LM Roman 10" w:cs="Times New Roman"/>
          <w:sz w:val="22"/>
          <w:szCs w:val="22"/>
        </w:rPr>
        <w:t>ing</w:t>
      </w:r>
      <w:r w:rsidR="00077109" w:rsidRPr="00077109">
        <w:rPr>
          <w:rFonts w:ascii="LM Roman 10" w:eastAsia="Times New Roman" w:hAnsi="LM Roman 10" w:cs="Times New Roman"/>
          <w:sz w:val="22"/>
          <w:szCs w:val="22"/>
        </w:rPr>
        <w:t xml:space="preserve"> we have N terms</w:t>
      </w:r>
      <w:r w:rsidR="00C9077C">
        <w:rPr>
          <w:rFonts w:ascii="LM Roman 10" w:eastAsia="Times New Roman" w:hAnsi="LM Roman 10" w:cs="Times New Roman"/>
          <w:sz w:val="22"/>
          <w:szCs w:val="22"/>
        </w:rPr>
        <w:t>, i</w:t>
      </w:r>
      <w:r w:rsidR="00077109" w:rsidRPr="00077109">
        <w:rPr>
          <w:rFonts w:ascii="LM Roman 10" w:eastAsia="Times New Roman" w:hAnsi="LM Roman 10" w:cs="Times New Roman"/>
          <w:sz w:val="22"/>
          <w:szCs w:val="22"/>
        </w:rPr>
        <w:t>n implementation 1, the number of float-point multiplications is proportion to N^2, while in implementation 2, the number of float-point multiplications is proportion</w:t>
      </w:r>
      <w:r w:rsidR="006E5703">
        <w:rPr>
          <w:rFonts w:ascii="LM Roman 10" w:eastAsia="Times New Roman" w:hAnsi="LM Roman 10" w:cs="Times New Roman"/>
          <w:sz w:val="22"/>
          <w:szCs w:val="22"/>
        </w:rPr>
        <w:t>al</w:t>
      </w:r>
      <w:r w:rsidR="00077109" w:rsidRPr="00077109">
        <w:rPr>
          <w:rFonts w:ascii="LM Roman 10" w:eastAsia="Times New Roman" w:hAnsi="LM Roman 10" w:cs="Times New Roman"/>
          <w:sz w:val="22"/>
          <w:szCs w:val="22"/>
        </w:rPr>
        <w:t xml:space="preserve"> to N. </w:t>
      </w:r>
      <w:r w:rsidR="006E5703" w:rsidRPr="00077109">
        <w:rPr>
          <w:rFonts w:ascii="LM Roman 10" w:eastAsia="Times New Roman" w:hAnsi="LM Roman 10" w:cs="Times New Roman"/>
          <w:sz w:val="22"/>
          <w:szCs w:val="22"/>
        </w:rPr>
        <w:t>Both implementations</w:t>
      </w:r>
      <w:r w:rsidR="00077109" w:rsidRPr="00077109">
        <w:rPr>
          <w:rFonts w:ascii="LM Roman 10" w:eastAsia="Times New Roman" w:hAnsi="LM Roman 10" w:cs="Times New Roman"/>
          <w:sz w:val="22"/>
          <w:szCs w:val="22"/>
        </w:rPr>
        <w:t xml:space="preserve"> have N float-point divisions, i.e., float-point division takes more weight in implementation 2 than in implementation 1</w:t>
      </w:r>
      <w:r w:rsidR="006E5703">
        <w:rPr>
          <w:rFonts w:ascii="LM Roman 10" w:eastAsia="Times New Roman" w:hAnsi="LM Roman 10" w:cs="Times New Roman"/>
          <w:sz w:val="22"/>
          <w:szCs w:val="22"/>
        </w:rPr>
        <w:t xml:space="preserve">”. For this </w:t>
      </w:r>
      <w:proofErr w:type="gramStart"/>
      <w:r w:rsidR="006E5703">
        <w:rPr>
          <w:rFonts w:ascii="LM Roman 10" w:eastAsia="Times New Roman" w:hAnsi="LM Roman 10" w:cs="Times New Roman"/>
          <w:sz w:val="22"/>
          <w:szCs w:val="22"/>
        </w:rPr>
        <w:t>reason</w:t>
      </w:r>
      <w:proofErr w:type="gramEnd"/>
      <w:r w:rsidR="006E5703">
        <w:rPr>
          <w:rFonts w:ascii="LM Roman 10" w:eastAsia="Times New Roman" w:hAnsi="LM Roman 10" w:cs="Times New Roman"/>
          <w:sz w:val="22"/>
          <w:szCs w:val="22"/>
        </w:rPr>
        <w:t xml:space="preserve"> we expect </w:t>
      </w:r>
      <w:proofErr w:type="spellStart"/>
      <w:r w:rsidR="006E5703">
        <w:rPr>
          <w:rFonts w:ascii="LM Roman 10" w:eastAsia="Times New Roman" w:hAnsi="LM Roman 10" w:cs="Times New Roman"/>
          <w:sz w:val="22"/>
          <w:szCs w:val="22"/>
        </w:rPr>
        <w:t>the</w:t>
      </w:r>
      <w:proofErr w:type="spellEnd"/>
      <w:r w:rsidR="006E5703">
        <w:rPr>
          <w:rFonts w:ascii="LM Roman 10" w:eastAsia="Times New Roman" w:hAnsi="LM Roman 10" w:cs="Times New Roman"/>
          <w:sz w:val="22"/>
          <w:szCs w:val="22"/>
        </w:rPr>
        <w:t xml:space="preserve"> differences between SP and DP to be more discernable in the second implementation, “Q1a_eff.c”.</w:t>
      </w:r>
    </w:p>
    <w:p w14:paraId="4DEF50B0" w14:textId="181FAC90" w:rsidR="006E5703" w:rsidRDefault="006E5703" w:rsidP="00077109">
      <w:pPr>
        <w:jc w:val="both"/>
        <w:rPr>
          <w:rFonts w:ascii="LM Roman 10" w:eastAsia="Times New Roman" w:hAnsi="LM Roman 10" w:cs="Times New Roman"/>
          <w:sz w:val="22"/>
          <w:szCs w:val="22"/>
        </w:rPr>
      </w:pPr>
    </w:p>
    <w:p w14:paraId="266490EF" w14:textId="3C4A7FBF" w:rsidR="001D370E" w:rsidRDefault="00DD6606" w:rsidP="00077109">
      <w:pPr>
        <w:jc w:val="both"/>
        <w:rPr>
          <w:rFonts w:ascii="LM Roman 10" w:eastAsia="Times New Roman" w:hAnsi="LM Roman 10" w:cs="Times New Roman"/>
          <w:sz w:val="22"/>
          <w:szCs w:val="22"/>
        </w:rPr>
      </w:pPr>
      <w:r>
        <w:rPr>
          <w:rFonts w:ascii="LM Roman 10" w:eastAsia="Times New Roman" w:hAnsi="LM Roman 10" w:cs="Times New Roman"/>
          <w:sz w:val="22"/>
          <w:szCs w:val="22"/>
        </w:rPr>
        <w:t xml:space="preserve">Figure 1 shows the average computing time </w:t>
      </w:r>
      <w:r w:rsidR="00531A71">
        <w:rPr>
          <w:rFonts w:ascii="LM Roman 10" w:eastAsia="Times New Roman" w:hAnsi="LM Roman 10" w:cs="Times New Roman"/>
          <w:sz w:val="22"/>
          <w:szCs w:val="22"/>
        </w:rPr>
        <w:t>for</w:t>
      </w:r>
      <w:r>
        <w:rPr>
          <w:rFonts w:ascii="LM Roman 10" w:eastAsia="Times New Roman" w:hAnsi="LM Roman 10" w:cs="Times New Roman"/>
          <w:sz w:val="22"/>
          <w:szCs w:val="22"/>
        </w:rPr>
        <w:t xml:space="preserve"> SP and DP </w:t>
      </w:r>
      <w:r w:rsidR="00531A71">
        <w:rPr>
          <w:rFonts w:ascii="LM Roman 10" w:eastAsia="Times New Roman" w:hAnsi="LM Roman 10" w:cs="Times New Roman"/>
          <w:sz w:val="22"/>
          <w:szCs w:val="22"/>
        </w:rPr>
        <w:t>precision, both for the regular and efficient implementations</w:t>
      </w:r>
      <w:r w:rsidR="00AB2E6C">
        <w:rPr>
          <w:rFonts w:ascii="LM Roman 10" w:eastAsia="Times New Roman" w:hAnsi="LM Roman 10" w:cs="Times New Roman"/>
          <w:sz w:val="22"/>
          <w:szCs w:val="22"/>
        </w:rPr>
        <w:t>.</w:t>
      </w:r>
      <w:r w:rsidR="00D451B9">
        <w:rPr>
          <w:rFonts w:ascii="LM Roman 10" w:eastAsia="Times New Roman" w:hAnsi="LM Roman 10" w:cs="Times New Roman"/>
          <w:sz w:val="22"/>
          <w:szCs w:val="22"/>
        </w:rPr>
        <w:t xml:space="preserve"> </w:t>
      </w:r>
      <w:r w:rsidR="006E6525">
        <w:rPr>
          <w:rFonts w:ascii="LM Roman 10" w:eastAsia="Times New Roman" w:hAnsi="LM Roman 10" w:cs="Times New Roman"/>
          <w:sz w:val="22"/>
          <w:szCs w:val="22"/>
        </w:rPr>
        <w:t xml:space="preserve">Each </w:t>
      </w:r>
      <m:oMath>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t</m:t>
            </m:r>
          </m:e>
          <m:sub>
            <m:r>
              <w:rPr>
                <w:rFonts w:ascii="Cambria Math" w:eastAsia="Times New Roman" w:hAnsi="Cambria Math" w:cs="Times New Roman"/>
                <w:sz w:val="22"/>
                <w:szCs w:val="22"/>
              </w:rPr>
              <m:t>avg</m:t>
            </m:r>
          </m:sub>
        </m:sSub>
      </m:oMath>
      <w:r w:rsidR="00236493">
        <w:rPr>
          <w:rFonts w:ascii="LM Roman 10" w:eastAsia="Times New Roman" w:hAnsi="LM Roman 10" w:cs="Times New Roman"/>
          <w:sz w:val="22"/>
          <w:szCs w:val="22"/>
        </w:rPr>
        <w:t xml:space="preserve"> correspond to the average time required to compute the sin(x) for x= 10, 20, 30 and 40 degrees.</w:t>
      </w:r>
      <w:r w:rsidR="00531A71">
        <w:rPr>
          <w:rFonts w:ascii="LM Roman 10" w:eastAsia="Times New Roman" w:hAnsi="LM Roman 10" w:cs="Times New Roman"/>
          <w:sz w:val="22"/>
          <w:szCs w:val="22"/>
        </w:rPr>
        <w:t xml:space="preserve"> </w:t>
      </w:r>
    </w:p>
    <w:p w14:paraId="1113970F" w14:textId="3796D7AB" w:rsidR="00307132" w:rsidRDefault="00307132" w:rsidP="00077109">
      <w:pPr>
        <w:jc w:val="both"/>
        <w:rPr>
          <w:rFonts w:ascii="LM Roman 10" w:eastAsia="Times New Roman" w:hAnsi="LM Roman 10" w:cs="Times New Roman"/>
          <w:sz w:val="22"/>
          <w:szCs w:val="22"/>
        </w:rPr>
      </w:pPr>
    </w:p>
    <w:p w14:paraId="30DC7DF5" w14:textId="1479A308" w:rsidR="00307132" w:rsidRDefault="00307132" w:rsidP="00077109">
      <w:pPr>
        <w:jc w:val="both"/>
        <w:rPr>
          <w:rFonts w:ascii="LM Roman 10" w:eastAsia="Times New Roman" w:hAnsi="LM Roman 10" w:cs="Times New Roman"/>
          <w:sz w:val="22"/>
          <w:szCs w:val="22"/>
        </w:rPr>
      </w:pPr>
      <w:r>
        <w:rPr>
          <w:rFonts w:ascii="LM Roman 10" w:eastAsia="Times New Roman" w:hAnsi="LM Roman 10" w:cs="Times New Roman"/>
          <w:sz w:val="22"/>
          <w:szCs w:val="22"/>
        </w:rPr>
        <w:t>On the one hand, we see the effect of only updating the power and factorial terms inside the loop instead of computing entirely each time. On the other hand, however, we observe that despite what was mentioned before, no significant differences are reported between SP and DP</w:t>
      </w:r>
      <w:r w:rsidR="00315FE5">
        <w:rPr>
          <w:rFonts w:ascii="LM Roman 10" w:eastAsia="Times New Roman" w:hAnsi="LM Roman 10" w:cs="Times New Roman"/>
          <w:sz w:val="22"/>
          <w:szCs w:val="22"/>
        </w:rPr>
        <w:t>.</w:t>
      </w:r>
    </w:p>
    <w:p w14:paraId="1970161E" w14:textId="7C0D36D1" w:rsidR="00315FE5" w:rsidRDefault="00315FE5" w:rsidP="00077109">
      <w:pPr>
        <w:jc w:val="both"/>
        <w:rPr>
          <w:rFonts w:ascii="LM Roman 10" w:eastAsia="Times New Roman" w:hAnsi="LM Roman 10" w:cs="Times New Roman"/>
          <w:sz w:val="22"/>
          <w:szCs w:val="22"/>
        </w:rPr>
      </w:pPr>
    </w:p>
    <w:p w14:paraId="21FCD96D" w14:textId="1670AC63" w:rsidR="00315FE5" w:rsidRPr="00077109" w:rsidRDefault="0023141D" w:rsidP="00315FE5">
      <w:pPr>
        <w:jc w:val="center"/>
        <w:rPr>
          <w:rFonts w:ascii="LM Roman 10" w:eastAsia="Times New Roman" w:hAnsi="LM Roman 10" w:cs="Times New Roman"/>
          <w:sz w:val="22"/>
          <w:szCs w:val="22"/>
        </w:rPr>
      </w:pPr>
      <w:r>
        <w:rPr>
          <w:noProof/>
        </w:rPr>
        <w:lastRenderedPageBreak/>
        <w:drawing>
          <wp:inline distT="0" distB="0" distL="0" distR="0" wp14:anchorId="7B9208F5" wp14:editId="40E27336">
            <wp:extent cx="5323438" cy="3340729"/>
            <wp:effectExtent l="0" t="0" r="10795" b="12700"/>
            <wp:docPr id="4" name="Chart 4">
              <a:extLst xmlns:a="http://schemas.openxmlformats.org/drawingml/2006/main">
                <a:ext uri="{FF2B5EF4-FFF2-40B4-BE49-F238E27FC236}">
                  <a16:creationId xmlns:a16="http://schemas.microsoft.com/office/drawing/2014/main" id="{09F51726-C2FF-B84D-80AF-C4133E41A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166914" w14:textId="6B4CADB0" w:rsidR="001B6759" w:rsidRDefault="001B6759" w:rsidP="00E13352">
      <w:pPr>
        <w:pStyle w:val="ListParagraph"/>
        <w:autoSpaceDE w:val="0"/>
        <w:autoSpaceDN w:val="0"/>
        <w:adjustRightInd w:val="0"/>
        <w:jc w:val="both"/>
        <w:rPr>
          <w:rFonts w:ascii="LM Roman 10" w:hAnsi="LM Roman 10" w:cs="Times New Roman"/>
          <w:sz w:val="22"/>
          <w:szCs w:val="22"/>
        </w:rPr>
      </w:pPr>
    </w:p>
    <w:p w14:paraId="5E9551BB" w14:textId="77777777" w:rsidR="003705EC" w:rsidRPr="00CF1CB9" w:rsidRDefault="003705EC" w:rsidP="00E13352">
      <w:pPr>
        <w:pStyle w:val="ListParagraph"/>
        <w:autoSpaceDE w:val="0"/>
        <w:autoSpaceDN w:val="0"/>
        <w:adjustRightInd w:val="0"/>
        <w:jc w:val="both"/>
        <w:rPr>
          <w:rFonts w:ascii="LM Roman 10" w:hAnsi="LM Roman 10" w:cs="Times New Roman"/>
          <w:i/>
          <w:iCs/>
          <w:sz w:val="22"/>
          <w:szCs w:val="22"/>
        </w:rPr>
      </w:pPr>
    </w:p>
    <w:p w14:paraId="2BB9959B" w14:textId="77777777" w:rsidR="00474D6C" w:rsidRPr="00CF1CB9" w:rsidRDefault="00474D6C" w:rsidP="00602308">
      <w:pPr>
        <w:pStyle w:val="ListParagraph"/>
        <w:autoSpaceDE w:val="0"/>
        <w:autoSpaceDN w:val="0"/>
        <w:adjustRightInd w:val="0"/>
        <w:jc w:val="both"/>
        <w:rPr>
          <w:rFonts w:ascii="LM Roman 10" w:hAnsi="LM Roman 10" w:cs="Times New Roman"/>
          <w:i/>
          <w:iCs/>
          <w:sz w:val="22"/>
          <w:szCs w:val="22"/>
        </w:rPr>
      </w:pPr>
    </w:p>
    <w:p w14:paraId="28FA1FC3" w14:textId="6AFF484A" w:rsidR="00602308" w:rsidRDefault="00474D6C" w:rsidP="009A560B">
      <w:pPr>
        <w:pStyle w:val="ListParagraph"/>
        <w:numPr>
          <w:ilvl w:val="0"/>
          <w:numId w:val="5"/>
        </w:numPr>
        <w:autoSpaceDE w:val="0"/>
        <w:autoSpaceDN w:val="0"/>
        <w:adjustRightInd w:val="0"/>
        <w:jc w:val="both"/>
        <w:rPr>
          <w:rFonts w:ascii="LM Roman 10" w:hAnsi="LM Roman 10" w:cs="Times New Roman"/>
          <w:i/>
          <w:iCs/>
          <w:sz w:val="22"/>
          <w:szCs w:val="22"/>
        </w:rPr>
      </w:pPr>
      <w:r w:rsidRPr="00CF1CB9">
        <w:rPr>
          <w:rFonts w:ascii="LM Roman 10" w:hAnsi="LM Roman 10" w:cs="Times New Roman"/>
          <w:i/>
          <w:iCs/>
          <w:sz w:val="22"/>
          <w:szCs w:val="22"/>
        </w:rPr>
        <w:t>Explore the benefits of compiling on the Discovery cluster with floating point</w:t>
      </w:r>
      <w:r w:rsidR="00602308" w:rsidRPr="00CF1CB9">
        <w:rPr>
          <w:rFonts w:ascii="LM Roman 10" w:hAnsi="LM Roman 10" w:cs="Times New Roman"/>
          <w:i/>
          <w:iCs/>
          <w:sz w:val="22"/>
          <w:szCs w:val="22"/>
        </w:rPr>
        <w:t xml:space="preserve"> </w:t>
      </w:r>
      <w:r w:rsidRPr="00CF1CB9">
        <w:rPr>
          <w:rFonts w:ascii="LM Roman 10" w:hAnsi="LM Roman 10" w:cs="Times New Roman"/>
          <w:i/>
          <w:iCs/>
          <w:sz w:val="22"/>
          <w:szCs w:val="22"/>
        </w:rPr>
        <w:t>vector extensions (e.g., AVX). Use the single-precision code from part (a). First run</w:t>
      </w:r>
      <w:r w:rsidR="00602308" w:rsidRPr="00CF1CB9">
        <w:rPr>
          <w:rFonts w:ascii="LM Roman 10" w:hAnsi="LM Roman 10" w:cs="Times New Roman"/>
          <w:i/>
          <w:iCs/>
          <w:sz w:val="22"/>
          <w:szCs w:val="22"/>
        </w:rPr>
        <w:t xml:space="preserve"> </w:t>
      </w:r>
      <w:r w:rsidRPr="00CF1CB9">
        <w:rPr>
          <w:rFonts w:ascii="LM Roman 10" w:hAnsi="LM Roman 10" w:cs="Times New Roman"/>
          <w:i/>
          <w:iCs/>
          <w:sz w:val="22"/>
          <w:szCs w:val="22"/>
        </w:rPr>
        <w:t>on a node on Discovery that does not support AVX-512. Then run on a node that</w:t>
      </w:r>
      <w:r w:rsidR="00602308" w:rsidRPr="00CF1CB9">
        <w:rPr>
          <w:rFonts w:ascii="LM Roman 10" w:hAnsi="LM Roman 10" w:cs="Times New Roman"/>
          <w:i/>
          <w:iCs/>
          <w:sz w:val="22"/>
          <w:szCs w:val="22"/>
        </w:rPr>
        <w:t xml:space="preserve"> </w:t>
      </w:r>
      <w:r w:rsidRPr="00CF1CB9">
        <w:rPr>
          <w:rFonts w:ascii="LM Roman 10" w:hAnsi="LM Roman 10" w:cs="Times New Roman"/>
          <w:i/>
          <w:iCs/>
          <w:sz w:val="22"/>
          <w:szCs w:val="22"/>
        </w:rPr>
        <w:t>supports AVX-512 and report on the performance benefits. Additional information</w:t>
      </w:r>
      <w:r w:rsidR="00602308" w:rsidRPr="00CF1CB9">
        <w:rPr>
          <w:rFonts w:ascii="LM Roman 10" w:hAnsi="LM Roman 10" w:cs="Times New Roman"/>
          <w:i/>
          <w:iCs/>
          <w:sz w:val="22"/>
          <w:szCs w:val="22"/>
        </w:rPr>
        <w:t xml:space="preserve"> </w:t>
      </w:r>
      <w:r w:rsidRPr="00CF1CB9">
        <w:rPr>
          <w:rFonts w:ascii="LM Roman 10" w:hAnsi="LM Roman 10" w:cs="Times New Roman"/>
          <w:i/>
          <w:iCs/>
          <w:sz w:val="22"/>
          <w:szCs w:val="22"/>
        </w:rPr>
        <w:t>is provided on AVX support on Discovery.</w:t>
      </w:r>
    </w:p>
    <w:p w14:paraId="5E8532CC" w14:textId="50096DCB" w:rsidR="00566E4E" w:rsidRPr="00241E9A" w:rsidRDefault="00334452" w:rsidP="00241E9A">
      <w:pPr>
        <w:autoSpaceDE w:val="0"/>
        <w:autoSpaceDN w:val="0"/>
        <w:adjustRightInd w:val="0"/>
        <w:jc w:val="both"/>
        <w:rPr>
          <w:rFonts w:ascii="LM Roman 10" w:hAnsi="LM Roman 10" w:cs="Times New Roman"/>
          <w:sz w:val="22"/>
          <w:szCs w:val="22"/>
        </w:rPr>
      </w:pPr>
      <w:r w:rsidRPr="00241E9A">
        <w:rPr>
          <w:rFonts w:ascii="LM Roman 10" w:hAnsi="LM Roman 10" w:cs="Times New Roman"/>
          <w:sz w:val="22"/>
          <w:szCs w:val="22"/>
        </w:rPr>
        <w:t xml:space="preserve">For this section of the assignment the code included in the file “Q1b.c” has been used. </w:t>
      </w:r>
      <w:r w:rsidR="00157765" w:rsidRPr="00241E9A">
        <w:rPr>
          <w:rFonts w:ascii="LM Roman 10" w:hAnsi="LM Roman 10" w:cs="Times New Roman"/>
          <w:sz w:val="22"/>
          <w:szCs w:val="22"/>
        </w:rPr>
        <w:t>We also provide the two assembly files for nodes with and without support for AVX, “Q1b.s” and “Q1b_</w:t>
      </w:r>
      <w:proofErr w:type="gramStart"/>
      <w:r w:rsidR="00157765" w:rsidRPr="00241E9A">
        <w:rPr>
          <w:rFonts w:ascii="LM Roman 10" w:hAnsi="LM Roman 10" w:cs="Times New Roman"/>
          <w:sz w:val="22"/>
          <w:szCs w:val="22"/>
        </w:rPr>
        <w:t>avx.</w:t>
      </w:r>
      <w:r w:rsidR="00EC31CF">
        <w:rPr>
          <w:rFonts w:ascii="LM Roman 10" w:hAnsi="LM Roman 10" w:cs="Times New Roman"/>
          <w:sz w:val="22"/>
          <w:szCs w:val="22"/>
        </w:rPr>
        <w:t>s</w:t>
      </w:r>
      <w:proofErr w:type="gramEnd"/>
      <w:r w:rsidR="00D21545" w:rsidRPr="00241E9A">
        <w:rPr>
          <w:rFonts w:ascii="LM Roman 10" w:hAnsi="LM Roman 10" w:cs="Times New Roman"/>
          <w:sz w:val="22"/>
          <w:szCs w:val="22"/>
        </w:rPr>
        <w:t xml:space="preserve">” respectively. </w:t>
      </w:r>
      <w:proofErr w:type="gramStart"/>
      <w:r w:rsidR="00D21545" w:rsidRPr="00241E9A">
        <w:rPr>
          <w:rFonts w:ascii="LM Roman 10" w:hAnsi="LM Roman 10" w:cs="Times New Roman"/>
          <w:sz w:val="22"/>
          <w:szCs w:val="22"/>
        </w:rPr>
        <w:t>Similar to</w:t>
      </w:r>
      <w:proofErr w:type="gramEnd"/>
      <w:r w:rsidR="00D21545" w:rsidRPr="00241E9A">
        <w:rPr>
          <w:rFonts w:ascii="LM Roman 10" w:hAnsi="LM Roman 10" w:cs="Times New Roman"/>
          <w:sz w:val="22"/>
          <w:szCs w:val="22"/>
        </w:rPr>
        <w:t xml:space="preserve"> the previous section we analyze the performance of the SP computation of Sin(x) for x = 10, 20, 30 and 40 degrees. Averaged times are displayed in Figure 2. </w:t>
      </w:r>
      <w:r w:rsidR="00CC7EC9" w:rsidRPr="00241E9A">
        <w:rPr>
          <w:rFonts w:ascii="LM Roman 10" w:hAnsi="LM Roman 10" w:cs="Times New Roman"/>
          <w:sz w:val="22"/>
          <w:szCs w:val="22"/>
        </w:rPr>
        <w:t xml:space="preserve"> </w:t>
      </w:r>
      <w:r w:rsidR="00F976F8" w:rsidRPr="00241E9A">
        <w:rPr>
          <w:rFonts w:ascii="LM Roman 10" w:hAnsi="LM Roman 10" w:cs="Times New Roman"/>
          <w:sz w:val="22"/>
          <w:szCs w:val="22"/>
        </w:rPr>
        <w:t>From Figures 2a and 2b we observe that for small number of terms not using AVX</w:t>
      </w:r>
      <w:r w:rsidR="00CD5E2E">
        <w:rPr>
          <w:rFonts w:ascii="LM Roman 10" w:hAnsi="LM Roman 10" w:cs="Times New Roman"/>
          <w:sz w:val="22"/>
          <w:szCs w:val="22"/>
        </w:rPr>
        <w:t xml:space="preserve"> </w:t>
      </w:r>
      <w:r w:rsidR="00F976F8" w:rsidRPr="00241E9A">
        <w:rPr>
          <w:rFonts w:ascii="LM Roman 10" w:hAnsi="LM Roman 10" w:cs="Times New Roman"/>
          <w:sz w:val="22"/>
          <w:szCs w:val="22"/>
        </w:rPr>
        <w:t xml:space="preserve">instructions </w:t>
      </w:r>
      <w:r w:rsidR="00241E9A" w:rsidRPr="00241E9A">
        <w:rPr>
          <w:rFonts w:ascii="LM Roman 10" w:hAnsi="LM Roman 10" w:cs="Times New Roman"/>
          <w:sz w:val="22"/>
          <w:szCs w:val="22"/>
        </w:rPr>
        <w:t>performs</w:t>
      </w:r>
      <w:r w:rsidR="00F976F8" w:rsidRPr="00241E9A">
        <w:rPr>
          <w:rFonts w:ascii="LM Roman 10" w:hAnsi="LM Roman 10" w:cs="Times New Roman"/>
          <w:sz w:val="22"/>
          <w:szCs w:val="22"/>
        </w:rPr>
        <w:t xml:space="preserve"> better than using them, probably due to the overhead added. However, </w:t>
      </w:r>
      <w:r w:rsidR="00820629" w:rsidRPr="00241E9A">
        <w:rPr>
          <w:rFonts w:ascii="LM Roman 10" w:hAnsi="LM Roman 10" w:cs="Times New Roman"/>
          <w:sz w:val="22"/>
          <w:szCs w:val="22"/>
        </w:rPr>
        <w:t xml:space="preserve">computing more than 1e6 terms results into a consistent performance improve around the 15%. </w:t>
      </w:r>
      <w:r w:rsidR="00241E9A" w:rsidRPr="00241E9A">
        <w:rPr>
          <w:rFonts w:ascii="LM Roman 10" w:hAnsi="LM Roman 10" w:cs="Times New Roman"/>
          <w:sz w:val="22"/>
          <w:szCs w:val="22"/>
        </w:rPr>
        <w:t>This result</w:t>
      </w:r>
      <w:r w:rsidR="00820629" w:rsidRPr="00241E9A">
        <w:rPr>
          <w:rFonts w:ascii="LM Roman 10" w:hAnsi="LM Roman 10" w:cs="Times New Roman"/>
          <w:sz w:val="22"/>
          <w:szCs w:val="22"/>
        </w:rPr>
        <w:t xml:space="preserve"> is further confirmed when increasing the number of terms linearly, as shown in Figures 2c and 2d.</w:t>
      </w:r>
    </w:p>
    <w:p w14:paraId="3422CC40" w14:textId="36028778" w:rsidR="00CC7EC9" w:rsidRDefault="00483659" w:rsidP="00483659">
      <w:pPr>
        <w:pStyle w:val="ListParagraph"/>
        <w:autoSpaceDE w:val="0"/>
        <w:autoSpaceDN w:val="0"/>
        <w:adjustRightInd w:val="0"/>
        <w:ind w:left="0"/>
        <w:jc w:val="both"/>
        <w:rPr>
          <w:rFonts w:ascii="LM Roman 10" w:hAnsi="LM Roman 10" w:cs="Times New Roman"/>
          <w:sz w:val="22"/>
          <w:szCs w:val="22"/>
        </w:rPr>
      </w:pPr>
      <w:r>
        <w:rPr>
          <w:noProof/>
        </w:rPr>
        <w:lastRenderedPageBreak/>
        <w:drawing>
          <wp:inline distT="0" distB="0" distL="0" distR="0" wp14:anchorId="0C3B5A9E" wp14:editId="6444A952">
            <wp:extent cx="3004820" cy="1891627"/>
            <wp:effectExtent l="0" t="0" r="17780" b="13970"/>
            <wp:docPr id="5" name="Chart 5">
              <a:extLst xmlns:a="http://schemas.openxmlformats.org/drawingml/2006/main">
                <a:ext uri="{FF2B5EF4-FFF2-40B4-BE49-F238E27FC236}">
                  <a16:creationId xmlns:a16="http://schemas.microsoft.com/office/drawing/2014/main" id="{A4DBF13B-E2EF-7D44-8006-03B80E93D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0FD1F3EC" wp14:editId="12B0A5AE">
            <wp:extent cx="2914430" cy="1891665"/>
            <wp:effectExtent l="0" t="0" r="6985" b="13335"/>
            <wp:docPr id="2" name="Chart 2">
              <a:extLst xmlns:a="http://schemas.openxmlformats.org/drawingml/2006/main">
                <a:ext uri="{FF2B5EF4-FFF2-40B4-BE49-F238E27FC236}">
                  <a16:creationId xmlns:a16="http://schemas.microsoft.com/office/drawing/2014/main" id="{24C832D4-A8B3-BF4D-916E-65215FFE7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13E6BB" w14:textId="754071E1" w:rsidR="00CC7EC9" w:rsidRDefault="00CC7EC9" w:rsidP="00CC7EC9">
      <w:pPr>
        <w:pStyle w:val="ListParagraph"/>
        <w:autoSpaceDE w:val="0"/>
        <w:autoSpaceDN w:val="0"/>
        <w:adjustRightInd w:val="0"/>
        <w:ind w:left="2520"/>
        <w:jc w:val="both"/>
        <w:rPr>
          <w:rFonts w:ascii="LM Roman 10" w:hAnsi="LM Roman 10" w:cs="Times New Roman"/>
          <w:sz w:val="22"/>
          <w:szCs w:val="22"/>
        </w:rPr>
      </w:pPr>
      <w:r>
        <w:rPr>
          <w:rFonts w:ascii="LM Roman 10" w:hAnsi="LM Roman 10" w:cs="Times New Roman"/>
          <w:sz w:val="22"/>
          <w:szCs w:val="22"/>
        </w:rPr>
        <w:t>a)</w:t>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t>b)</w:t>
      </w:r>
    </w:p>
    <w:p w14:paraId="41F6E732" w14:textId="445DC4CA" w:rsidR="00483659" w:rsidRDefault="00483659" w:rsidP="00483659">
      <w:pPr>
        <w:pStyle w:val="ListParagraph"/>
        <w:autoSpaceDE w:val="0"/>
        <w:autoSpaceDN w:val="0"/>
        <w:adjustRightInd w:val="0"/>
        <w:ind w:left="0"/>
        <w:jc w:val="both"/>
        <w:rPr>
          <w:rFonts w:ascii="LM Roman 10" w:hAnsi="LM Roman 10" w:cs="Times New Roman"/>
          <w:sz w:val="22"/>
          <w:szCs w:val="22"/>
        </w:rPr>
      </w:pPr>
      <w:r>
        <w:rPr>
          <w:noProof/>
        </w:rPr>
        <w:drawing>
          <wp:inline distT="0" distB="0" distL="0" distR="0" wp14:anchorId="55DFF1D7" wp14:editId="5D852BAE">
            <wp:extent cx="3023857" cy="1964602"/>
            <wp:effectExtent l="0" t="0" r="12065" b="17145"/>
            <wp:docPr id="3" name="Chart 3">
              <a:extLst xmlns:a="http://schemas.openxmlformats.org/drawingml/2006/main">
                <a:ext uri="{FF2B5EF4-FFF2-40B4-BE49-F238E27FC236}">
                  <a16:creationId xmlns:a16="http://schemas.microsoft.com/office/drawing/2014/main" id="{71804D99-57B2-6947-8709-6A58A437D9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0160AB3" wp14:editId="28EDD0BE">
            <wp:extent cx="2842788" cy="1973580"/>
            <wp:effectExtent l="0" t="0" r="15240" b="7620"/>
            <wp:docPr id="6" name="Chart 6">
              <a:extLst xmlns:a="http://schemas.openxmlformats.org/drawingml/2006/main">
                <a:ext uri="{FF2B5EF4-FFF2-40B4-BE49-F238E27FC236}">
                  <a16:creationId xmlns:a16="http://schemas.microsoft.com/office/drawing/2014/main" id="{647A195E-22B7-F940-9F86-8F405C7F0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53638E" w14:textId="2390D0AB" w:rsidR="00CC7EC9" w:rsidRDefault="00CC7EC9" w:rsidP="00CC7EC9">
      <w:pPr>
        <w:pStyle w:val="ListParagraph"/>
        <w:autoSpaceDE w:val="0"/>
        <w:autoSpaceDN w:val="0"/>
        <w:adjustRightInd w:val="0"/>
        <w:jc w:val="both"/>
        <w:rPr>
          <w:rFonts w:ascii="LM Roman 10" w:hAnsi="LM Roman 10" w:cs="Times New Roman"/>
          <w:sz w:val="22"/>
          <w:szCs w:val="22"/>
        </w:rPr>
      </w:pPr>
      <w:r>
        <w:rPr>
          <w:rFonts w:ascii="LM Roman 10" w:hAnsi="LM Roman 10" w:cs="Times New Roman"/>
          <w:sz w:val="22"/>
          <w:szCs w:val="22"/>
        </w:rPr>
        <w:tab/>
      </w:r>
      <w:r>
        <w:rPr>
          <w:rFonts w:ascii="LM Roman 10" w:hAnsi="LM Roman 10" w:cs="Times New Roman"/>
          <w:sz w:val="22"/>
          <w:szCs w:val="22"/>
        </w:rPr>
        <w:tab/>
        <w:t xml:space="preserve">c) </w:t>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r>
      <w:r>
        <w:rPr>
          <w:rFonts w:ascii="LM Roman 10" w:hAnsi="LM Roman 10" w:cs="Times New Roman"/>
          <w:sz w:val="22"/>
          <w:szCs w:val="22"/>
        </w:rPr>
        <w:tab/>
        <w:t>d)</w:t>
      </w:r>
    </w:p>
    <w:p w14:paraId="05A1EB3E" w14:textId="11EA03A0" w:rsidR="00CC7EC9" w:rsidRPr="00CC7EC9" w:rsidRDefault="00CC7EC9" w:rsidP="00CC7EC9">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Figure 2: Performance comparison of SP Sin(x) between with and without AVX-512</w:t>
      </w:r>
    </w:p>
    <w:p w14:paraId="1EA1524D" w14:textId="77777777" w:rsidR="00602308" w:rsidRPr="00CF1CB9" w:rsidRDefault="00602308" w:rsidP="00602308">
      <w:pPr>
        <w:pStyle w:val="ListParagraph"/>
        <w:rPr>
          <w:rFonts w:ascii="LM Roman 10" w:hAnsi="LM Roman 10" w:cs="Times New Roman"/>
          <w:i/>
          <w:iCs/>
          <w:sz w:val="22"/>
          <w:szCs w:val="22"/>
        </w:rPr>
      </w:pPr>
    </w:p>
    <w:p w14:paraId="36EBDE39" w14:textId="16296AB1" w:rsidR="00602308" w:rsidRPr="00241E9A" w:rsidRDefault="00474D6C" w:rsidP="00323EFB">
      <w:pPr>
        <w:pStyle w:val="ListParagraph"/>
        <w:numPr>
          <w:ilvl w:val="0"/>
          <w:numId w:val="5"/>
        </w:numPr>
        <w:autoSpaceDE w:val="0"/>
        <w:autoSpaceDN w:val="0"/>
        <w:adjustRightInd w:val="0"/>
        <w:jc w:val="both"/>
        <w:rPr>
          <w:rFonts w:ascii="LM Roman 10" w:hAnsi="LM Roman 10" w:cs="Times New Roman"/>
          <w:i/>
          <w:iCs/>
          <w:sz w:val="22"/>
          <w:szCs w:val="22"/>
        </w:rPr>
      </w:pPr>
      <w:r w:rsidRPr="00CF1CB9">
        <w:rPr>
          <w:rFonts w:ascii="LM Roman 10" w:hAnsi="LM Roman 10" w:cs="Times New Roman"/>
          <w:i/>
          <w:iCs/>
          <w:sz w:val="22"/>
          <w:szCs w:val="22"/>
        </w:rPr>
        <w:t>Continuing with part (b), generate an assembly listing (using the -S flag) and</w:t>
      </w:r>
      <w:r w:rsidR="00602308" w:rsidRPr="00CF1CB9">
        <w:rPr>
          <w:rFonts w:ascii="LM Roman 10" w:hAnsi="LM Roman 10" w:cs="Times New Roman"/>
          <w:i/>
          <w:iCs/>
          <w:sz w:val="22"/>
          <w:szCs w:val="22"/>
        </w:rPr>
        <w:t xml:space="preserve"> </w:t>
      </w:r>
      <w:r w:rsidRPr="00CF1CB9">
        <w:rPr>
          <w:rFonts w:ascii="LM Roman 10" w:hAnsi="LM Roman 10" w:cs="Times New Roman"/>
          <w:i/>
          <w:iCs/>
          <w:sz w:val="22"/>
          <w:szCs w:val="22"/>
        </w:rPr>
        <w:t>identify 2 different AVX instructions that the compiler generated, explaining their</w:t>
      </w:r>
      <w:r w:rsidR="00602308" w:rsidRPr="00CF1CB9">
        <w:rPr>
          <w:rFonts w:ascii="LM Roman 10" w:hAnsi="LM Roman 10" w:cs="Times New Roman"/>
          <w:i/>
          <w:iCs/>
          <w:sz w:val="22"/>
          <w:szCs w:val="22"/>
        </w:rPr>
        <w:t xml:space="preserve"> </w:t>
      </w:r>
      <w:r w:rsidRPr="00CF1CB9">
        <w:rPr>
          <w:rFonts w:ascii="LM Roman 10" w:hAnsi="LM Roman 10" w:cs="Times New Roman"/>
          <w:i/>
          <w:iCs/>
          <w:sz w:val="22"/>
          <w:szCs w:val="22"/>
        </w:rPr>
        <w:t>operation.</w:t>
      </w:r>
    </w:p>
    <w:p w14:paraId="269B1446" w14:textId="77777777" w:rsidR="00547553" w:rsidRDefault="00EC31CF" w:rsidP="0012437D">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Comparing the two assembly files for “Q1b.c</w:t>
      </w:r>
      <w:r w:rsidR="000A0536">
        <w:rPr>
          <w:rFonts w:ascii="LM Roman 10" w:hAnsi="LM Roman 10" w:cs="Times New Roman"/>
          <w:sz w:val="22"/>
          <w:szCs w:val="22"/>
        </w:rPr>
        <w:t xml:space="preserve">”, </w:t>
      </w:r>
      <w:r w:rsidR="000A0536" w:rsidRPr="00241E9A">
        <w:rPr>
          <w:rFonts w:ascii="LM Roman 10" w:hAnsi="LM Roman 10" w:cs="Times New Roman"/>
          <w:sz w:val="22"/>
          <w:szCs w:val="22"/>
        </w:rPr>
        <w:t>“Q1b.s” and “Q1b_</w:t>
      </w:r>
      <w:proofErr w:type="gramStart"/>
      <w:r w:rsidR="000A0536" w:rsidRPr="00241E9A">
        <w:rPr>
          <w:rFonts w:ascii="LM Roman 10" w:hAnsi="LM Roman 10" w:cs="Times New Roman"/>
          <w:sz w:val="22"/>
          <w:szCs w:val="22"/>
        </w:rPr>
        <w:t>avx.</w:t>
      </w:r>
      <w:r w:rsidR="000A0536">
        <w:rPr>
          <w:rFonts w:ascii="LM Roman 10" w:hAnsi="LM Roman 10" w:cs="Times New Roman"/>
          <w:sz w:val="22"/>
          <w:szCs w:val="22"/>
        </w:rPr>
        <w:t>s</w:t>
      </w:r>
      <w:proofErr w:type="gramEnd"/>
      <w:r w:rsidR="000A0536" w:rsidRPr="00241E9A">
        <w:rPr>
          <w:rFonts w:ascii="LM Roman 10" w:hAnsi="LM Roman 10" w:cs="Times New Roman"/>
          <w:sz w:val="22"/>
          <w:szCs w:val="22"/>
        </w:rPr>
        <w:t>” respectively</w:t>
      </w:r>
      <w:r w:rsidR="000A0536">
        <w:rPr>
          <w:rFonts w:ascii="LM Roman 10" w:hAnsi="LM Roman 10" w:cs="Times New Roman"/>
          <w:sz w:val="22"/>
          <w:szCs w:val="22"/>
        </w:rPr>
        <w:t>, we can see the AVX</w:t>
      </w:r>
      <w:r w:rsidR="000B687A">
        <w:rPr>
          <w:rFonts w:ascii="LM Roman 10" w:hAnsi="LM Roman 10" w:cs="Times New Roman"/>
          <w:sz w:val="22"/>
          <w:szCs w:val="22"/>
        </w:rPr>
        <w:t xml:space="preserve"> </w:t>
      </w:r>
      <w:r w:rsidR="000A0536">
        <w:rPr>
          <w:rFonts w:ascii="LM Roman 10" w:hAnsi="LM Roman 10" w:cs="Times New Roman"/>
          <w:sz w:val="22"/>
          <w:szCs w:val="22"/>
        </w:rPr>
        <w:t>instructions</w:t>
      </w:r>
      <w:r w:rsidR="00547553">
        <w:rPr>
          <w:rFonts w:ascii="LM Roman 10" w:hAnsi="LM Roman 10" w:cs="Times New Roman"/>
          <w:sz w:val="22"/>
          <w:szCs w:val="22"/>
        </w:rPr>
        <w:t xml:space="preserve"> being used. </w:t>
      </w:r>
      <w:r w:rsidR="000A0536">
        <w:rPr>
          <w:rFonts w:ascii="LM Roman 10" w:hAnsi="LM Roman 10" w:cs="Times New Roman"/>
          <w:sz w:val="22"/>
          <w:szCs w:val="22"/>
        </w:rPr>
        <w:t>Figure 3</w:t>
      </w:r>
      <w:r w:rsidR="00547553">
        <w:rPr>
          <w:rFonts w:ascii="LM Roman 10" w:hAnsi="LM Roman 10" w:cs="Times New Roman"/>
          <w:sz w:val="22"/>
          <w:szCs w:val="22"/>
        </w:rPr>
        <w:t xml:space="preserve"> shows a fraction of the code of both assembly files</w:t>
      </w:r>
      <w:r w:rsidR="000A0536">
        <w:rPr>
          <w:rFonts w:ascii="LM Roman 10" w:hAnsi="LM Roman 10" w:cs="Times New Roman"/>
          <w:sz w:val="22"/>
          <w:szCs w:val="22"/>
        </w:rPr>
        <w:t>.</w:t>
      </w:r>
    </w:p>
    <w:p w14:paraId="22A95BC0" w14:textId="77777777" w:rsidR="00547553" w:rsidRDefault="00547553" w:rsidP="00241E9A">
      <w:pPr>
        <w:autoSpaceDE w:val="0"/>
        <w:autoSpaceDN w:val="0"/>
        <w:adjustRightInd w:val="0"/>
        <w:jc w:val="both"/>
        <w:rPr>
          <w:rFonts w:ascii="LM Roman 10" w:hAnsi="LM Roman 10" w:cs="Times New Roman"/>
          <w:sz w:val="22"/>
          <w:szCs w:val="22"/>
        </w:rPr>
      </w:pPr>
    </w:p>
    <w:p w14:paraId="4DEECDE9" w14:textId="3F8D855F" w:rsidR="00241E9A" w:rsidRDefault="003E7988" w:rsidP="003E7988">
      <w:pPr>
        <w:autoSpaceDE w:val="0"/>
        <w:autoSpaceDN w:val="0"/>
        <w:adjustRightInd w:val="0"/>
        <w:jc w:val="center"/>
        <w:rPr>
          <w:rFonts w:ascii="LM Roman 10" w:hAnsi="LM Roman 10" w:cs="Times New Roman"/>
          <w:sz w:val="22"/>
          <w:szCs w:val="22"/>
        </w:rPr>
      </w:pPr>
      <w:r w:rsidRPr="003E7988">
        <w:rPr>
          <w:rFonts w:ascii="LM Roman 10" w:hAnsi="LM Roman 10" w:cs="Times New Roman"/>
          <w:sz w:val="22"/>
          <w:szCs w:val="22"/>
        </w:rPr>
        <w:drawing>
          <wp:inline distT="0" distB="0" distL="0" distR="0" wp14:anchorId="0ABD69F6" wp14:editId="7C3BAFBD">
            <wp:extent cx="2756485" cy="93494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11" cy="936788"/>
                    </a:xfrm>
                    <a:prstGeom prst="rect">
                      <a:avLst/>
                    </a:prstGeom>
                  </pic:spPr>
                </pic:pic>
              </a:graphicData>
            </a:graphic>
          </wp:inline>
        </w:drawing>
      </w:r>
      <w:r>
        <w:rPr>
          <w:rFonts w:ascii="LM Roman 10" w:hAnsi="LM Roman 10" w:cs="Times New Roman"/>
          <w:sz w:val="22"/>
          <w:szCs w:val="22"/>
        </w:rPr>
        <w:t xml:space="preserve">   </w:t>
      </w:r>
      <w:r w:rsidRPr="003E7988">
        <w:rPr>
          <w:rFonts w:ascii="LM Roman 10" w:hAnsi="LM Roman 10" w:cs="Times New Roman"/>
          <w:sz w:val="22"/>
          <w:szCs w:val="22"/>
        </w:rPr>
        <w:drawing>
          <wp:inline distT="0" distB="0" distL="0" distR="0" wp14:anchorId="23DEBAC7" wp14:editId="1D3BEF58">
            <wp:extent cx="2747230" cy="931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687" cy="940104"/>
                    </a:xfrm>
                    <a:prstGeom prst="rect">
                      <a:avLst/>
                    </a:prstGeom>
                  </pic:spPr>
                </pic:pic>
              </a:graphicData>
            </a:graphic>
          </wp:inline>
        </w:drawing>
      </w:r>
    </w:p>
    <w:p w14:paraId="33425DFC" w14:textId="0CCC3DEE" w:rsidR="003E7988" w:rsidRPr="00F25D6E" w:rsidRDefault="00F25D6E" w:rsidP="00F25D6E">
      <w:pPr>
        <w:pStyle w:val="ListParagraph"/>
        <w:numPr>
          <w:ilvl w:val="0"/>
          <w:numId w:val="8"/>
        </w:numPr>
        <w:autoSpaceDE w:val="0"/>
        <w:autoSpaceDN w:val="0"/>
        <w:adjustRightInd w:val="0"/>
        <w:rPr>
          <w:rFonts w:ascii="LM Roman 10" w:hAnsi="LM Roman 10" w:cs="Times New Roman"/>
          <w:sz w:val="22"/>
          <w:szCs w:val="22"/>
        </w:rPr>
      </w:pPr>
      <w:r w:rsidRPr="00F25D6E">
        <w:rPr>
          <w:rFonts w:ascii="LM Roman 10" w:hAnsi="LM Roman 10" w:cs="Times New Roman"/>
          <w:sz w:val="22"/>
          <w:szCs w:val="22"/>
        </w:rPr>
        <w:t xml:space="preserve">b) </w:t>
      </w:r>
    </w:p>
    <w:p w14:paraId="2B6CECFC" w14:textId="58565CD3" w:rsidR="00F25D6E" w:rsidRDefault="00F25D6E" w:rsidP="00F25D6E">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Figure 3: Assembly code with AVX support (</w:t>
      </w:r>
      <w:r w:rsidR="009419F3">
        <w:rPr>
          <w:rFonts w:ascii="LM Roman 10" w:hAnsi="LM Roman 10" w:cs="Times New Roman"/>
          <w:sz w:val="22"/>
          <w:szCs w:val="22"/>
        </w:rPr>
        <w:t>a</w:t>
      </w:r>
      <w:r>
        <w:rPr>
          <w:rFonts w:ascii="LM Roman 10" w:hAnsi="LM Roman 10" w:cs="Times New Roman"/>
          <w:sz w:val="22"/>
          <w:szCs w:val="22"/>
        </w:rPr>
        <w:t>) and without id (</w:t>
      </w:r>
      <w:r w:rsidR="009419F3">
        <w:rPr>
          <w:rFonts w:ascii="LM Roman 10" w:hAnsi="LM Roman 10" w:cs="Times New Roman"/>
          <w:sz w:val="22"/>
          <w:szCs w:val="22"/>
        </w:rPr>
        <w:t>b</w:t>
      </w:r>
      <w:r>
        <w:rPr>
          <w:rFonts w:ascii="LM Roman 10" w:hAnsi="LM Roman 10" w:cs="Times New Roman"/>
          <w:sz w:val="22"/>
          <w:szCs w:val="22"/>
        </w:rPr>
        <w:t>)</w:t>
      </w:r>
    </w:p>
    <w:p w14:paraId="333E0D82" w14:textId="1E417E9D" w:rsidR="00F25D6E" w:rsidRPr="002F53D2" w:rsidRDefault="002F53D2" w:rsidP="0012437D">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For example, we observe that the instructions “</w:t>
      </w:r>
      <w:proofErr w:type="spellStart"/>
      <w:r>
        <w:rPr>
          <w:rFonts w:ascii="LM Roman 10" w:hAnsi="LM Roman 10" w:cs="Times New Roman"/>
          <w:i/>
          <w:iCs/>
          <w:sz w:val="22"/>
          <w:szCs w:val="22"/>
        </w:rPr>
        <w:t>movss</w:t>
      </w:r>
      <w:proofErr w:type="spellEnd"/>
      <w:r>
        <w:rPr>
          <w:rFonts w:ascii="LM Roman 10" w:hAnsi="LM Roman 10" w:cs="Times New Roman"/>
          <w:i/>
          <w:iCs/>
          <w:sz w:val="22"/>
          <w:szCs w:val="22"/>
        </w:rPr>
        <w:t>”</w:t>
      </w:r>
      <w:r>
        <w:rPr>
          <w:rFonts w:ascii="LM Roman 10" w:hAnsi="LM Roman 10" w:cs="Times New Roman"/>
          <w:sz w:val="22"/>
          <w:szCs w:val="22"/>
        </w:rPr>
        <w:t xml:space="preserve"> and </w:t>
      </w:r>
      <w:r>
        <w:rPr>
          <w:rFonts w:ascii="LM Roman 10" w:hAnsi="LM Roman 10" w:cs="Times New Roman"/>
          <w:i/>
          <w:iCs/>
          <w:sz w:val="22"/>
          <w:szCs w:val="22"/>
        </w:rPr>
        <w:t>“</w:t>
      </w:r>
      <w:proofErr w:type="spellStart"/>
      <w:r>
        <w:rPr>
          <w:rFonts w:ascii="LM Roman 10" w:hAnsi="LM Roman 10" w:cs="Times New Roman"/>
          <w:i/>
          <w:iCs/>
          <w:sz w:val="22"/>
          <w:szCs w:val="22"/>
        </w:rPr>
        <w:t>mulss</w:t>
      </w:r>
      <w:proofErr w:type="spellEnd"/>
      <w:proofErr w:type="gramStart"/>
      <w:r>
        <w:rPr>
          <w:rFonts w:ascii="LM Roman 10" w:hAnsi="LM Roman 10" w:cs="Times New Roman"/>
          <w:i/>
          <w:iCs/>
          <w:sz w:val="22"/>
          <w:szCs w:val="22"/>
        </w:rPr>
        <w:t>”</w:t>
      </w:r>
      <w:r>
        <w:rPr>
          <w:rFonts w:ascii="LM Roman 10" w:hAnsi="LM Roman 10" w:cs="Times New Roman"/>
          <w:sz w:val="22"/>
          <w:szCs w:val="22"/>
        </w:rPr>
        <w:t xml:space="preserve"> ,</w:t>
      </w:r>
      <w:proofErr w:type="gramEnd"/>
      <w:r>
        <w:rPr>
          <w:rFonts w:ascii="LM Roman 10" w:hAnsi="LM Roman 10" w:cs="Times New Roman"/>
          <w:sz w:val="22"/>
          <w:szCs w:val="22"/>
        </w:rPr>
        <w:t xml:space="preserve"> which are in charge of  </w:t>
      </w:r>
      <w:r w:rsidR="004A069A">
        <w:rPr>
          <w:rFonts w:ascii="LM Roman 10" w:hAnsi="LM Roman 10" w:cs="Times New Roman"/>
          <w:sz w:val="22"/>
          <w:szCs w:val="22"/>
        </w:rPr>
        <w:t xml:space="preserve">moving </w:t>
      </w:r>
      <w:r w:rsidR="0012437D">
        <w:rPr>
          <w:rFonts w:ascii="LM Roman 10" w:hAnsi="LM Roman 10" w:cs="Times New Roman"/>
          <w:sz w:val="22"/>
          <w:szCs w:val="22"/>
        </w:rPr>
        <w:t xml:space="preserve">or merging scalar single precision floating point values and </w:t>
      </w:r>
      <w:r>
        <w:rPr>
          <w:rFonts w:ascii="LM Roman 10" w:hAnsi="LM Roman 10" w:cs="Times New Roman"/>
          <w:sz w:val="22"/>
          <w:szCs w:val="22"/>
        </w:rPr>
        <w:t>multiplying</w:t>
      </w:r>
      <w:r w:rsidR="004A069A">
        <w:rPr>
          <w:rFonts w:ascii="LM Roman 10" w:hAnsi="LM Roman 10" w:cs="Times New Roman"/>
          <w:sz w:val="22"/>
          <w:szCs w:val="22"/>
        </w:rPr>
        <w:t xml:space="preserve"> scalar single precision floating point values respectively, </w:t>
      </w:r>
      <w:r>
        <w:rPr>
          <w:rFonts w:ascii="LM Roman 10" w:hAnsi="LM Roman 10" w:cs="Times New Roman"/>
          <w:sz w:val="22"/>
          <w:szCs w:val="22"/>
        </w:rPr>
        <w:t xml:space="preserve">have been compiled with their AVX counter parts: </w:t>
      </w:r>
      <w:r>
        <w:rPr>
          <w:rFonts w:ascii="LM Roman 10" w:hAnsi="LM Roman 10" w:cs="Times New Roman"/>
          <w:sz w:val="22"/>
          <w:szCs w:val="22"/>
        </w:rPr>
        <w:t>“</w:t>
      </w:r>
      <w:proofErr w:type="spellStart"/>
      <w:r>
        <w:rPr>
          <w:rFonts w:ascii="LM Roman 10" w:hAnsi="LM Roman 10" w:cs="Times New Roman"/>
          <w:i/>
          <w:iCs/>
          <w:sz w:val="22"/>
          <w:szCs w:val="22"/>
        </w:rPr>
        <w:t>v</w:t>
      </w:r>
      <w:r>
        <w:rPr>
          <w:rFonts w:ascii="LM Roman 10" w:hAnsi="LM Roman 10" w:cs="Times New Roman"/>
          <w:i/>
          <w:iCs/>
          <w:sz w:val="22"/>
          <w:szCs w:val="22"/>
        </w:rPr>
        <w:t>movss</w:t>
      </w:r>
      <w:proofErr w:type="spellEnd"/>
      <w:r>
        <w:rPr>
          <w:rFonts w:ascii="LM Roman 10" w:hAnsi="LM Roman 10" w:cs="Times New Roman"/>
          <w:i/>
          <w:iCs/>
          <w:sz w:val="22"/>
          <w:szCs w:val="22"/>
        </w:rPr>
        <w:t>”</w:t>
      </w:r>
      <w:r>
        <w:rPr>
          <w:rFonts w:ascii="LM Roman 10" w:hAnsi="LM Roman 10" w:cs="Times New Roman"/>
          <w:sz w:val="22"/>
          <w:szCs w:val="22"/>
        </w:rPr>
        <w:t xml:space="preserve"> and </w:t>
      </w:r>
      <w:r>
        <w:rPr>
          <w:rFonts w:ascii="LM Roman 10" w:hAnsi="LM Roman 10" w:cs="Times New Roman"/>
          <w:i/>
          <w:iCs/>
          <w:sz w:val="22"/>
          <w:szCs w:val="22"/>
        </w:rPr>
        <w:t>“</w:t>
      </w:r>
      <w:proofErr w:type="spellStart"/>
      <w:r>
        <w:rPr>
          <w:rFonts w:ascii="LM Roman 10" w:hAnsi="LM Roman 10" w:cs="Times New Roman"/>
          <w:i/>
          <w:iCs/>
          <w:sz w:val="22"/>
          <w:szCs w:val="22"/>
        </w:rPr>
        <w:t>v</w:t>
      </w:r>
      <w:r>
        <w:rPr>
          <w:rFonts w:ascii="LM Roman 10" w:hAnsi="LM Roman 10" w:cs="Times New Roman"/>
          <w:i/>
          <w:iCs/>
          <w:sz w:val="22"/>
          <w:szCs w:val="22"/>
        </w:rPr>
        <w:t>mulss</w:t>
      </w:r>
      <w:proofErr w:type="spellEnd"/>
      <w:r>
        <w:rPr>
          <w:rFonts w:ascii="LM Roman 10" w:hAnsi="LM Roman 10" w:cs="Times New Roman"/>
          <w:i/>
          <w:iCs/>
          <w:sz w:val="22"/>
          <w:szCs w:val="22"/>
        </w:rPr>
        <w:t>”.</w:t>
      </w:r>
    </w:p>
    <w:p w14:paraId="11B8F87E" w14:textId="77777777" w:rsidR="00602308" w:rsidRPr="00CF1CB9" w:rsidRDefault="00602308" w:rsidP="00602308">
      <w:pPr>
        <w:pStyle w:val="ListParagraph"/>
        <w:rPr>
          <w:rFonts w:ascii="LM Roman 10" w:hAnsi="LM Roman 10" w:cs="Times New Roman"/>
          <w:i/>
          <w:iCs/>
          <w:sz w:val="22"/>
          <w:szCs w:val="22"/>
        </w:rPr>
      </w:pPr>
    </w:p>
    <w:p w14:paraId="564489F4" w14:textId="63AE6174" w:rsidR="00D9173A" w:rsidRPr="00CF1CB9" w:rsidRDefault="00474D6C" w:rsidP="00E436DC">
      <w:pPr>
        <w:pStyle w:val="ListParagraph"/>
        <w:numPr>
          <w:ilvl w:val="0"/>
          <w:numId w:val="5"/>
        </w:numPr>
        <w:autoSpaceDE w:val="0"/>
        <w:autoSpaceDN w:val="0"/>
        <w:adjustRightInd w:val="0"/>
        <w:jc w:val="both"/>
        <w:rPr>
          <w:rFonts w:ascii="LM Roman 10" w:hAnsi="LM Roman 10"/>
          <w:i/>
          <w:iCs/>
          <w:sz w:val="22"/>
          <w:szCs w:val="22"/>
        </w:rPr>
      </w:pPr>
      <w:r w:rsidRPr="00CF1CB9">
        <w:rPr>
          <w:rFonts w:ascii="LM Roman 10" w:hAnsi="LM Roman 10" w:cs="Times New Roman"/>
          <w:i/>
          <w:iCs/>
          <w:sz w:val="22"/>
          <w:szCs w:val="22"/>
        </w:rPr>
        <w:lastRenderedPageBreak/>
        <w:t>Provide both IEEE 754 single and double precision representations for th</w:t>
      </w:r>
      <w:r w:rsidR="00602308" w:rsidRPr="00CF1CB9">
        <w:rPr>
          <w:rFonts w:ascii="LM Roman 10" w:hAnsi="LM Roman 10" w:cs="Times New Roman"/>
          <w:i/>
          <w:iCs/>
          <w:sz w:val="22"/>
          <w:szCs w:val="22"/>
        </w:rPr>
        <w:t xml:space="preserve">e </w:t>
      </w:r>
      <w:r w:rsidRPr="00CF1CB9">
        <w:rPr>
          <w:rFonts w:ascii="LM Roman 10" w:hAnsi="LM Roman 10" w:cs="Times New Roman"/>
          <w:i/>
          <w:iCs/>
          <w:sz w:val="22"/>
          <w:szCs w:val="22"/>
        </w:rPr>
        <w:t>following numbers: 2.1, 6300, and -1.044.</w:t>
      </w:r>
    </w:p>
    <w:p w14:paraId="539F1989" w14:textId="27F2D414" w:rsidR="001F2B61" w:rsidRPr="00CF1CB9" w:rsidRDefault="001E581B" w:rsidP="001F2B61">
      <w:pPr>
        <w:pStyle w:val="ListParagraph"/>
        <w:rPr>
          <w:rFonts w:ascii="LM Roman 10" w:hAnsi="LM Roman 10"/>
          <w:sz w:val="22"/>
          <w:szCs w:val="22"/>
        </w:rPr>
      </w:pPr>
      <w:r w:rsidRPr="00CF1CB9">
        <w:rPr>
          <w:rFonts w:ascii="LM Roman 10" w:hAnsi="LM Roman 10"/>
          <w:sz w:val="22"/>
          <w:szCs w:val="22"/>
        </w:rPr>
        <w:t>The code used to compute the fraction bits is included in file “Q1d.c”. The sign and exponent bits have been computed manually.</w:t>
      </w:r>
    </w:p>
    <w:tbl>
      <w:tblPr>
        <w:tblStyle w:val="TableGrid"/>
        <w:tblW w:w="0" w:type="auto"/>
        <w:tblInd w:w="720" w:type="dxa"/>
        <w:tblLook w:val="04A0" w:firstRow="1" w:lastRow="0" w:firstColumn="1" w:lastColumn="0" w:noHBand="0" w:noVBand="1"/>
      </w:tblPr>
      <w:tblGrid>
        <w:gridCol w:w="1795"/>
        <w:gridCol w:w="2520"/>
        <w:gridCol w:w="4315"/>
      </w:tblGrid>
      <w:tr w:rsidR="006A3F09" w:rsidRPr="00CF1CB9" w14:paraId="1935A887" w14:textId="77777777" w:rsidTr="006A3F09">
        <w:tc>
          <w:tcPr>
            <w:tcW w:w="1795" w:type="dxa"/>
            <w:vAlign w:val="center"/>
          </w:tcPr>
          <w:p w14:paraId="6400FA6B" w14:textId="39107D88" w:rsidR="001F2B61" w:rsidRPr="00CF1CB9" w:rsidRDefault="001F2B61" w:rsidP="001F2B61">
            <w:pPr>
              <w:pStyle w:val="ListParagraph"/>
              <w:autoSpaceDE w:val="0"/>
              <w:autoSpaceDN w:val="0"/>
              <w:adjustRightInd w:val="0"/>
              <w:ind w:left="0"/>
              <w:jc w:val="center"/>
              <w:rPr>
                <w:rFonts w:ascii="LM Roman 10" w:hAnsi="LM Roman 10"/>
                <w:b/>
                <w:bCs/>
                <w:sz w:val="22"/>
                <w:szCs w:val="22"/>
              </w:rPr>
            </w:pPr>
            <w:r w:rsidRPr="00CF1CB9">
              <w:rPr>
                <w:rFonts w:ascii="LM Roman 10" w:hAnsi="LM Roman 10"/>
                <w:b/>
                <w:bCs/>
                <w:sz w:val="22"/>
                <w:szCs w:val="22"/>
              </w:rPr>
              <w:t>Value</w:t>
            </w:r>
          </w:p>
        </w:tc>
        <w:tc>
          <w:tcPr>
            <w:tcW w:w="2520" w:type="dxa"/>
            <w:vAlign w:val="center"/>
          </w:tcPr>
          <w:p w14:paraId="1493B84F" w14:textId="222E8D2D" w:rsidR="001F2B61" w:rsidRPr="00CF1CB9" w:rsidRDefault="001F2B61" w:rsidP="001F2B61">
            <w:pPr>
              <w:pStyle w:val="ListParagraph"/>
              <w:autoSpaceDE w:val="0"/>
              <w:autoSpaceDN w:val="0"/>
              <w:adjustRightInd w:val="0"/>
              <w:ind w:left="0"/>
              <w:jc w:val="center"/>
              <w:rPr>
                <w:rFonts w:ascii="LM Roman 10" w:hAnsi="LM Roman 10"/>
                <w:b/>
                <w:bCs/>
                <w:sz w:val="22"/>
                <w:szCs w:val="22"/>
              </w:rPr>
            </w:pPr>
            <w:r w:rsidRPr="00CF1CB9">
              <w:rPr>
                <w:rFonts w:ascii="LM Roman 10" w:hAnsi="LM Roman 10"/>
                <w:b/>
                <w:bCs/>
                <w:sz w:val="22"/>
                <w:szCs w:val="22"/>
              </w:rPr>
              <w:t>SP</w:t>
            </w:r>
          </w:p>
        </w:tc>
        <w:tc>
          <w:tcPr>
            <w:tcW w:w="4315" w:type="dxa"/>
            <w:vAlign w:val="center"/>
          </w:tcPr>
          <w:p w14:paraId="02127596" w14:textId="3E2095DF" w:rsidR="001F2B61" w:rsidRPr="00CF1CB9" w:rsidRDefault="001F2B61" w:rsidP="001F2B61">
            <w:pPr>
              <w:pStyle w:val="ListParagraph"/>
              <w:autoSpaceDE w:val="0"/>
              <w:autoSpaceDN w:val="0"/>
              <w:adjustRightInd w:val="0"/>
              <w:ind w:left="0"/>
              <w:jc w:val="center"/>
              <w:rPr>
                <w:rFonts w:ascii="LM Roman 10" w:hAnsi="LM Roman 10"/>
                <w:b/>
                <w:bCs/>
                <w:sz w:val="22"/>
                <w:szCs w:val="22"/>
              </w:rPr>
            </w:pPr>
            <w:r w:rsidRPr="00CF1CB9">
              <w:rPr>
                <w:rFonts w:ascii="LM Roman 10" w:hAnsi="LM Roman 10"/>
                <w:b/>
                <w:bCs/>
                <w:sz w:val="22"/>
                <w:szCs w:val="22"/>
              </w:rPr>
              <w:t>DP</w:t>
            </w:r>
          </w:p>
        </w:tc>
      </w:tr>
      <w:tr w:rsidR="006A3F09" w:rsidRPr="00CF1CB9" w14:paraId="6DF691DD" w14:textId="77777777" w:rsidTr="006A3F09">
        <w:tc>
          <w:tcPr>
            <w:tcW w:w="1795" w:type="dxa"/>
            <w:vAlign w:val="center"/>
          </w:tcPr>
          <w:p w14:paraId="3A8EFCE4" w14:textId="334A92EC" w:rsidR="001F2B61" w:rsidRPr="00CF1CB9" w:rsidRDefault="001F2B61"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2.1</w:t>
            </w:r>
          </w:p>
        </w:tc>
        <w:tc>
          <w:tcPr>
            <w:tcW w:w="2520" w:type="dxa"/>
            <w:vAlign w:val="center"/>
          </w:tcPr>
          <w:p w14:paraId="1A888A00" w14:textId="2BF02928" w:rsidR="001F2B61" w:rsidRPr="00CF1CB9" w:rsidRDefault="00925DB7"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 xml:space="preserve">0100 </w:t>
            </w:r>
            <w:r w:rsidR="00151AE5" w:rsidRPr="00CF1CB9">
              <w:rPr>
                <w:rFonts w:ascii="LM Roman 10" w:hAnsi="LM Roman 10"/>
                <w:sz w:val="22"/>
                <w:szCs w:val="22"/>
              </w:rPr>
              <w:t xml:space="preserve">0000 0000 0110 0110 </w:t>
            </w:r>
            <w:r w:rsidR="002649F5" w:rsidRPr="00CF1CB9">
              <w:rPr>
                <w:rFonts w:ascii="LM Roman 10" w:hAnsi="LM Roman 10"/>
                <w:sz w:val="22"/>
                <w:szCs w:val="22"/>
              </w:rPr>
              <w:t>0110 0110 0110</w:t>
            </w:r>
          </w:p>
        </w:tc>
        <w:tc>
          <w:tcPr>
            <w:tcW w:w="4315" w:type="dxa"/>
            <w:vAlign w:val="center"/>
          </w:tcPr>
          <w:p w14:paraId="0322ED4F" w14:textId="696512B2" w:rsidR="001F2B61" w:rsidRPr="00CF1CB9" w:rsidRDefault="00532D35"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 xml:space="preserve">0100 0000 0000 </w:t>
            </w:r>
            <w:r w:rsidR="00EE0B90" w:rsidRPr="00CF1CB9">
              <w:rPr>
                <w:rFonts w:ascii="LM Roman 10" w:hAnsi="LM Roman 10"/>
                <w:sz w:val="22"/>
                <w:szCs w:val="22"/>
              </w:rPr>
              <w:t>0000</w:t>
            </w:r>
            <w:r w:rsidR="00632BB9" w:rsidRPr="00CF1CB9">
              <w:rPr>
                <w:rFonts w:ascii="LM Roman 10" w:hAnsi="LM Roman 10"/>
                <w:sz w:val="22"/>
                <w:szCs w:val="22"/>
              </w:rPr>
              <w:t xml:space="preserve"> 1100</w:t>
            </w:r>
            <w:r w:rsidR="008F1DB5"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r w:rsidR="00A60BF2" w:rsidRPr="00CF1CB9">
              <w:rPr>
                <w:rFonts w:ascii="LM Roman 10" w:hAnsi="LM Roman 10"/>
                <w:sz w:val="22"/>
                <w:szCs w:val="22"/>
              </w:rPr>
              <w:t xml:space="preserve"> </w:t>
            </w:r>
            <w:r w:rsidR="00A60BF2" w:rsidRPr="00CF1CB9">
              <w:rPr>
                <w:rFonts w:ascii="LM Roman 10" w:hAnsi="LM Roman 10"/>
                <w:sz w:val="22"/>
                <w:szCs w:val="22"/>
              </w:rPr>
              <w:t>1100</w:t>
            </w:r>
          </w:p>
        </w:tc>
      </w:tr>
      <w:tr w:rsidR="006A3F09" w:rsidRPr="00CF1CB9" w14:paraId="19C547A2" w14:textId="77777777" w:rsidTr="006A3F09">
        <w:tc>
          <w:tcPr>
            <w:tcW w:w="1795" w:type="dxa"/>
            <w:vAlign w:val="center"/>
          </w:tcPr>
          <w:p w14:paraId="2746C4E6" w14:textId="7AA06533" w:rsidR="001F2B61" w:rsidRPr="00CF1CB9" w:rsidRDefault="001F2B61"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6300</w:t>
            </w:r>
          </w:p>
        </w:tc>
        <w:tc>
          <w:tcPr>
            <w:tcW w:w="2520" w:type="dxa"/>
            <w:vAlign w:val="center"/>
          </w:tcPr>
          <w:p w14:paraId="60FC6E77" w14:textId="0A7D2C4C" w:rsidR="001F2B61" w:rsidRPr="00CF1CB9" w:rsidRDefault="007D2D32"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0</w:t>
            </w:r>
            <w:r w:rsidR="00EF4C1C" w:rsidRPr="00CF1CB9">
              <w:rPr>
                <w:rFonts w:ascii="LM Roman 10" w:hAnsi="LM Roman 10"/>
                <w:sz w:val="22"/>
                <w:szCs w:val="22"/>
              </w:rPr>
              <w:t>100 0101 1000 0000 0000 0000 0000 0000</w:t>
            </w:r>
          </w:p>
        </w:tc>
        <w:tc>
          <w:tcPr>
            <w:tcW w:w="4315" w:type="dxa"/>
            <w:vAlign w:val="center"/>
          </w:tcPr>
          <w:p w14:paraId="4F26ACF0" w14:textId="61B5AB7B" w:rsidR="001F2B61" w:rsidRPr="00CF1CB9" w:rsidRDefault="007939C2"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0</w:t>
            </w:r>
            <w:r w:rsidR="00987F48" w:rsidRPr="00CF1CB9">
              <w:rPr>
                <w:rFonts w:ascii="LM Roman 10" w:hAnsi="LM Roman 10"/>
                <w:sz w:val="22"/>
                <w:szCs w:val="22"/>
              </w:rPr>
              <w:t xml:space="preserve">100 0000 1011 0000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r w:rsidR="00345F61" w:rsidRPr="00CF1CB9">
              <w:rPr>
                <w:rFonts w:ascii="LM Roman 10" w:hAnsi="LM Roman 10"/>
                <w:sz w:val="22"/>
                <w:szCs w:val="22"/>
              </w:rPr>
              <w:t xml:space="preserve"> </w:t>
            </w:r>
            <w:r w:rsidR="00345F61" w:rsidRPr="00CF1CB9">
              <w:rPr>
                <w:rFonts w:ascii="LM Roman 10" w:hAnsi="LM Roman 10"/>
                <w:sz w:val="22"/>
                <w:szCs w:val="22"/>
              </w:rPr>
              <w:t>0000</w:t>
            </w:r>
          </w:p>
        </w:tc>
      </w:tr>
      <w:tr w:rsidR="006A3F09" w:rsidRPr="00CF1CB9" w14:paraId="7B896FD7" w14:textId="77777777" w:rsidTr="006A3F09">
        <w:tc>
          <w:tcPr>
            <w:tcW w:w="1795" w:type="dxa"/>
            <w:vAlign w:val="center"/>
          </w:tcPr>
          <w:p w14:paraId="4059E087" w14:textId="27891FD9" w:rsidR="001F2B61" w:rsidRPr="00CF1CB9" w:rsidRDefault="001F2B61"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-1.044</w:t>
            </w:r>
          </w:p>
        </w:tc>
        <w:tc>
          <w:tcPr>
            <w:tcW w:w="2520" w:type="dxa"/>
            <w:vAlign w:val="center"/>
          </w:tcPr>
          <w:p w14:paraId="53076A3E" w14:textId="10688203" w:rsidR="001F2B61" w:rsidRPr="00CF1CB9" w:rsidRDefault="00D07DE5"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1</w:t>
            </w:r>
            <w:r w:rsidR="00214630" w:rsidRPr="00CF1CB9">
              <w:rPr>
                <w:rFonts w:ascii="LM Roman 10" w:hAnsi="LM Roman 10"/>
                <w:sz w:val="22"/>
                <w:szCs w:val="22"/>
              </w:rPr>
              <w:t>0</w:t>
            </w:r>
            <w:r w:rsidRPr="00CF1CB9">
              <w:rPr>
                <w:rFonts w:ascii="LM Roman 10" w:hAnsi="LM Roman 10"/>
                <w:sz w:val="22"/>
                <w:szCs w:val="22"/>
              </w:rPr>
              <w:t>11 1111</w:t>
            </w:r>
            <w:r w:rsidR="00436255" w:rsidRPr="00CF1CB9">
              <w:rPr>
                <w:rFonts w:ascii="LM Roman 10" w:hAnsi="LM Roman 10"/>
                <w:sz w:val="22"/>
                <w:szCs w:val="22"/>
              </w:rPr>
              <w:t xml:space="preserve"> </w:t>
            </w:r>
            <w:r w:rsidR="00214630" w:rsidRPr="00CF1CB9">
              <w:rPr>
                <w:rFonts w:ascii="LM Roman 10" w:hAnsi="LM Roman 10"/>
                <w:sz w:val="22"/>
                <w:szCs w:val="22"/>
              </w:rPr>
              <w:t>1</w:t>
            </w:r>
            <w:r w:rsidR="00436255" w:rsidRPr="00CF1CB9">
              <w:rPr>
                <w:rFonts w:ascii="LM Roman 10" w:hAnsi="LM Roman 10"/>
                <w:sz w:val="22"/>
                <w:szCs w:val="22"/>
              </w:rPr>
              <w:t>000</w:t>
            </w:r>
            <w:r w:rsidR="00436255" w:rsidRPr="00CF1CB9">
              <w:rPr>
                <w:rFonts w:ascii="LM Roman 10" w:hAnsi="LM Roman 10"/>
                <w:sz w:val="22"/>
                <w:szCs w:val="22"/>
              </w:rPr>
              <w:t xml:space="preserve"> </w:t>
            </w:r>
            <w:r w:rsidR="00436255" w:rsidRPr="00CF1CB9">
              <w:rPr>
                <w:rFonts w:ascii="LM Roman 10" w:hAnsi="LM Roman 10"/>
                <w:sz w:val="22"/>
                <w:szCs w:val="22"/>
              </w:rPr>
              <w:t>0101</w:t>
            </w:r>
            <w:r w:rsidR="00436255" w:rsidRPr="00CF1CB9">
              <w:rPr>
                <w:rFonts w:ascii="LM Roman 10" w:hAnsi="LM Roman 10"/>
                <w:sz w:val="22"/>
                <w:szCs w:val="22"/>
              </w:rPr>
              <w:t xml:space="preserve"> </w:t>
            </w:r>
            <w:r w:rsidR="00436255" w:rsidRPr="00CF1CB9">
              <w:rPr>
                <w:rFonts w:ascii="LM Roman 10" w:hAnsi="LM Roman 10"/>
                <w:sz w:val="22"/>
                <w:szCs w:val="22"/>
              </w:rPr>
              <w:t>1010</w:t>
            </w:r>
            <w:r w:rsidR="00436255" w:rsidRPr="00CF1CB9">
              <w:rPr>
                <w:rFonts w:ascii="LM Roman 10" w:hAnsi="LM Roman 10"/>
                <w:sz w:val="22"/>
                <w:szCs w:val="22"/>
              </w:rPr>
              <w:t xml:space="preserve"> </w:t>
            </w:r>
            <w:r w:rsidR="00436255" w:rsidRPr="00CF1CB9">
              <w:rPr>
                <w:rFonts w:ascii="LM Roman 10" w:hAnsi="LM Roman 10"/>
                <w:sz w:val="22"/>
                <w:szCs w:val="22"/>
              </w:rPr>
              <w:t>0001</w:t>
            </w:r>
            <w:r w:rsidR="00436255" w:rsidRPr="00CF1CB9">
              <w:rPr>
                <w:rFonts w:ascii="LM Roman 10" w:hAnsi="LM Roman 10"/>
                <w:sz w:val="22"/>
                <w:szCs w:val="22"/>
              </w:rPr>
              <w:t xml:space="preserve"> </w:t>
            </w:r>
            <w:r w:rsidR="00436255" w:rsidRPr="00CF1CB9">
              <w:rPr>
                <w:rFonts w:ascii="LM Roman 10" w:hAnsi="LM Roman 10"/>
                <w:sz w:val="22"/>
                <w:szCs w:val="22"/>
              </w:rPr>
              <w:t>1100</w:t>
            </w:r>
            <w:r w:rsidR="00436255" w:rsidRPr="00CF1CB9">
              <w:rPr>
                <w:rFonts w:ascii="LM Roman 10" w:hAnsi="LM Roman 10"/>
                <w:sz w:val="22"/>
                <w:szCs w:val="22"/>
              </w:rPr>
              <w:t xml:space="preserve"> </w:t>
            </w:r>
            <w:r w:rsidR="00436255" w:rsidRPr="00CF1CB9">
              <w:rPr>
                <w:rFonts w:ascii="LM Roman 10" w:hAnsi="LM Roman 10"/>
                <w:sz w:val="22"/>
                <w:szCs w:val="22"/>
              </w:rPr>
              <w:t>1010</w:t>
            </w:r>
          </w:p>
        </w:tc>
        <w:tc>
          <w:tcPr>
            <w:tcW w:w="4315" w:type="dxa"/>
            <w:vAlign w:val="center"/>
          </w:tcPr>
          <w:p w14:paraId="5E83A623" w14:textId="24F076FF" w:rsidR="001F2B61" w:rsidRPr="00CF1CB9" w:rsidRDefault="00CD705E" w:rsidP="001F2B61">
            <w:pPr>
              <w:pStyle w:val="ListParagraph"/>
              <w:autoSpaceDE w:val="0"/>
              <w:autoSpaceDN w:val="0"/>
              <w:adjustRightInd w:val="0"/>
              <w:ind w:left="0"/>
              <w:jc w:val="center"/>
              <w:rPr>
                <w:rFonts w:ascii="LM Roman 10" w:hAnsi="LM Roman 10"/>
                <w:sz w:val="22"/>
                <w:szCs w:val="22"/>
              </w:rPr>
            </w:pPr>
            <w:r w:rsidRPr="00CF1CB9">
              <w:rPr>
                <w:rFonts w:ascii="LM Roman 10" w:hAnsi="LM Roman 10"/>
                <w:sz w:val="22"/>
                <w:szCs w:val="22"/>
              </w:rPr>
              <w:t>1011 1111 111</w:t>
            </w:r>
            <w:r w:rsidR="006A3F09" w:rsidRPr="00CF1CB9">
              <w:rPr>
                <w:rFonts w:ascii="LM Roman 10" w:hAnsi="LM Roman 10"/>
                <w:sz w:val="22"/>
                <w:szCs w:val="22"/>
              </w:rPr>
              <w:t xml:space="preserve">1 </w:t>
            </w:r>
            <w:r w:rsidR="006A3F09" w:rsidRPr="00CF1CB9">
              <w:rPr>
                <w:rFonts w:ascii="LM Roman 10" w:hAnsi="LM Roman 10"/>
                <w:sz w:val="22"/>
                <w:szCs w:val="22"/>
              </w:rPr>
              <w:t>0000</w:t>
            </w:r>
            <w:r w:rsidR="006A3F09" w:rsidRPr="00CF1CB9">
              <w:rPr>
                <w:rFonts w:ascii="LM Roman 10" w:hAnsi="LM Roman 10"/>
                <w:sz w:val="22"/>
                <w:szCs w:val="22"/>
              </w:rPr>
              <w:t xml:space="preserve"> </w:t>
            </w:r>
            <w:r w:rsidR="006A3F09" w:rsidRPr="00CF1CB9">
              <w:rPr>
                <w:rFonts w:ascii="LM Roman 10" w:hAnsi="LM Roman 10"/>
                <w:sz w:val="22"/>
                <w:szCs w:val="22"/>
              </w:rPr>
              <w:t>1011</w:t>
            </w:r>
            <w:r w:rsidR="006A3F09" w:rsidRPr="00CF1CB9">
              <w:rPr>
                <w:rFonts w:ascii="LM Roman 10" w:hAnsi="LM Roman 10"/>
                <w:sz w:val="22"/>
                <w:szCs w:val="22"/>
              </w:rPr>
              <w:t xml:space="preserve"> </w:t>
            </w:r>
            <w:r w:rsidR="006A3F09" w:rsidRPr="00CF1CB9">
              <w:rPr>
                <w:rFonts w:ascii="LM Roman 10" w:hAnsi="LM Roman 10"/>
                <w:sz w:val="22"/>
                <w:szCs w:val="22"/>
              </w:rPr>
              <w:t>0100</w:t>
            </w:r>
            <w:r w:rsidR="006A3F09" w:rsidRPr="00CF1CB9">
              <w:rPr>
                <w:rFonts w:ascii="LM Roman 10" w:hAnsi="LM Roman 10"/>
                <w:sz w:val="22"/>
                <w:szCs w:val="22"/>
              </w:rPr>
              <w:t xml:space="preserve"> </w:t>
            </w:r>
            <w:r w:rsidR="006A3F09" w:rsidRPr="00CF1CB9">
              <w:rPr>
                <w:rFonts w:ascii="LM Roman 10" w:hAnsi="LM Roman 10"/>
                <w:sz w:val="22"/>
                <w:szCs w:val="22"/>
              </w:rPr>
              <w:t>0011</w:t>
            </w:r>
            <w:r w:rsidR="006A3F09" w:rsidRPr="00CF1CB9">
              <w:rPr>
                <w:rFonts w:ascii="LM Roman 10" w:hAnsi="LM Roman 10"/>
                <w:sz w:val="22"/>
                <w:szCs w:val="22"/>
              </w:rPr>
              <w:t xml:space="preserve"> </w:t>
            </w:r>
            <w:r w:rsidR="006A3F09" w:rsidRPr="00CF1CB9">
              <w:rPr>
                <w:rFonts w:ascii="LM Roman 10" w:hAnsi="LM Roman 10"/>
                <w:sz w:val="22"/>
                <w:szCs w:val="22"/>
              </w:rPr>
              <w:t>1001</w:t>
            </w:r>
            <w:r w:rsidR="006A3F09" w:rsidRPr="00CF1CB9">
              <w:rPr>
                <w:rFonts w:ascii="LM Roman 10" w:hAnsi="LM Roman 10"/>
                <w:sz w:val="22"/>
                <w:szCs w:val="22"/>
              </w:rPr>
              <w:t xml:space="preserve"> </w:t>
            </w:r>
            <w:r w:rsidR="006A3F09" w:rsidRPr="00CF1CB9">
              <w:rPr>
                <w:rFonts w:ascii="LM Roman 10" w:hAnsi="LM Roman 10"/>
                <w:sz w:val="22"/>
                <w:szCs w:val="22"/>
              </w:rPr>
              <w:t>0101</w:t>
            </w:r>
            <w:r w:rsidR="006A3F09" w:rsidRPr="00CF1CB9">
              <w:rPr>
                <w:rFonts w:ascii="LM Roman 10" w:hAnsi="LM Roman 10"/>
                <w:sz w:val="22"/>
                <w:szCs w:val="22"/>
              </w:rPr>
              <w:t xml:space="preserve"> </w:t>
            </w:r>
            <w:r w:rsidR="006A3F09" w:rsidRPr="00CF1CB9">
              <w:rPr>
                <w:rFonts w:ascii="LM Roman 10" w:hAnsi="LM Roman 10"/>
                <w:sz w:val="22"/>
                <w:szCs w:val="22"/>
              </w:rPr>
              <w:t>1000</w:t>
            </w:r>
            <w:r w:rsidR="006A3F09" w:rsidRPr="00CF1CB9">
              <w:rPr>
                <w:rFonts w:ascii="LM Roman 10" w:hAnsi="LM Roman 10"/>
                <w:sz w:val="22"/>
                <w:szCs w:val="22"/>
              </w:rPr>
              <w:t xml:space="preserve"> </w:t>
            </w:r>
            <w:r w:rsidR="006A3F09" w:rsidRPr="00CF1CB9">
              <w:rPr>
                <w:rFonts w:ascii="LM Roman 10" w:hAnsi="LM Roman 10"/>
                <w:sz w:val="22"/>
                <w:szCs w:val="22"/>
              </w:rPr>
              <w:t>0000</w:t>
            </w:r>
            <w:r w:rsidR="006A3F09" w:rsidRPr="00CF1CB9">
              <w:rPr>
                <w:rFonts w:ascii="LM Roman 10" w:hAnsi="LM Roman 10"/>
                <w:sz w:val="22"/>
                <w:szCs w:val="22"/>
              </w:rPr>
              <w:t xml:space="preserve"> </w:t>
            </w:r>
            <w:r w:rsidR="006A3F09" w:rsidRPr="00CF1CB9">
              <w:rPr>
                <w:rFonts w:ascii="LM Roman 10" w:hAnsi="LM Roman 10"/>
                <w:sz w:val="22"/>
                <w:szCs w:val="22"/>
              </w:rPr>
              <w:t>0000</w:t>
            </w:r>
            <w:r w:rsidR="006A3F09" w:rsidRPr="00CF1CB9">
              <w:rPr>
                <w:rFonts w:ascii="LM Roman 10" w:hAnsi="LM Roman 10"/>
                <w:sz w:val="22"/>
                <w:szCs w:val="22"/>
              </w:rPr>
              <w:t xml:space="preserve"> </w:t>
            </w:r>
            <w:r w:rsidR="006A3F09" w:rsidRPr="00CF1CB9">
              <w:rPr>
                <w:rFonts w:ascii="LM Roman 10" w:hAnsi="LM Roman 10"/>
                <w:sz w:val="22"/>
                <w:szCs w:val="22"/>
              </w:rPr>
              <w:t>0000</w:t>
            </w:r>
            <w:r w:rsidR="006A3F09" w:rsidRPr="00CF1CB9">
              <w:rPr>
                <w:rFonts w:ascii="LM Roman 10" w:hAnsi="LM Roman 10"/>
                <w:sz w:val="22"/>
                <w:szCs w:val="22"/>
              </w:rPr>
              <w:t xml:space="preserve"> </w:t>
            </w:r>
            <w:r w:rsidR="006A3F09" w:rsidRPr="00CF1CB9">
              <w:rPr>
                <w:rFonts w:ascii="LM Roman 10" w:hAnsi="LM Roman 10"/>
                <w:sz w:val="22"/>
                <w:szCs w:val="22"/>
              </w:rPr>
              <w:t>0000</w:t>
            </w:r>
            <w:r w:rsidR="006A3F09" w:rsidRPr="00CF1CB9">
              <w:rPr>
                <w:rFonts w:ascii="LM Roman 10" w:hAnsi="LM Roman 10"/>
                <w:sz w:val="22"/>
                <w:szCs w:val="22"/>
              </w:rPr>
              <w:t xml:space="preserve"> </w:t>
            </w:r>
            <w:r w:rsidR="006A3F09" w:rsidRPr="00CF1CB9">
              <w:rPr>
                <w:rFonts w:ascii="LM Roman 10" w:hAnsi="LM Roman 10"/>
                <w:sz w:val="22"/>
                <w:szCs w:val="22"/>
              </w:rPr>
              <w:t>0000</w:t>
            </w:r>
            <w:r w:rsidR="006A3F09" w:rsidRPr="00CF1CB9">
              <w:rPr>
                <w:rFonts w:ascii="LM Roman 10" w:hAnsi="LM Roman 10"/>
                <w:sz w:val="22"/>
                <w:szCs w:val="22"/>
              </w:rPr>
              <w:t xml:space="preserve"> </w:t>
            </w:r>
            <w:r w:rsidR="006A3F09" w:rsidRPr="00CF1CB9">
              <w:rPr>
                <w:rFonts w:ascii="LM Roman 10" w:hAnsi="LM Roman 10"/>
                <w:sz w:val="22"/>
                <w:szCs w:val="22"/>
              </w:rPr>
              <w:t>0000</w:t>
            </w:r>
          </w:p>
        </w:tc>
      </w:tr>
    </w:tbl>
    <w:p w14:paraId="411350DE" w14:textId="25E6F3FB" w:rsidR="00E71F84" w:rsidRPr="00CF1CB9" w:rsidRDefault="00E71F84" w:rsidP="00E71F84">
      <w:pPr>
        <w:autoSpaceDE w:val="0"/>
        <w:autoSpaceDN w:val="0"/>
        <w:adjustRightInd w:val="0"/>
        <w:jc w:val="both"/>
        <w:rPr>
          <w:rFonts w:ascii="LM Roman 10" w:hAnsi="LM Roman 10"/>
          <w:i/>
          <w:iCs/>
          <w:sz w:val="22"/>
          <w:szCs w:val="22"/>
        </w:rPr>
      </w:pPr>
    </w:p>
    <w:sectPr w:rsidR="00E71F84" w:rsidRPr="00CF1CB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70E6" w14:textId="77777777" w:rsidR="00454146" w:rsidRDefault="00454146" w:rsidP="008D2C0B">
      <w:r>
        <w:separator/>
      </w:r>
    </w:p>
  </w:endnote>
  <w:endnote w:type="continuationSeparator" w:id="0">
    <w:p w14:paraId="3A056505" w14:textId="77777777" w:rsidR="00454146" w:rsidRDefault="00454146" w:rsidP="008D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E657E" w14:textId="77777777" w:rsidR="00454146" w:rsidRDefault="00454146" w:rsidP="008D2C0B">
      <w:r>
        <w:separator/>
      </w:r>
    </w:p>
  </w:footnote>
  <w:footnote w:type="continuationSeparator" w:id="0">
    <w:p w14:paraId="1A1AF739" w14:textId="77777777" w:rsidR="00454146" w:rsidRDefault="00454146" w:rsidP="008D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E734" w14:textId="1DE3D196" w:rsidR="008D2C0B" w:rsidRPr="004E1DE2" w:rsidRDefault="00024297">
    <w:pPr>
      <w:pStyle w:val="Header"/>
      <w:rPr>
        <w:rFonts w:ascii="LM Roman 10" w:hAnsi="LM Roman 10"/>
        <w:sz w:val="22"/>
        <w:szCs w:val="22"/>
      </w:rPr>
    </w:pPr>
    <w:r w:rsidRPr="004E1DE2">
      <w:rPr>
        <w:rFonts w:ascii="LM Roman 10" w:hAnsi="LM Roman 10"/>
        <w:noProof/>
        <w:sz w:val="22"/>
        <w:szCs w:val="22"/>
      </w:rPr>
      <w:drawing>
        <wp:anchor distT="0" distB="0" distL="114300" distR="114300" simplePos="0" relativeHeight="251658240" behindDoc="0" locked="0" layoutInCell="1" allowOverlap="1" wp14:anchorId="2C9A1FBB" wp14:editId="62A72A6F">
          <wp:simplePos x="0" y="0"/>
          <wp:positionH relativeFrom="column">
            <wp:posOffset>4733925</wp:posOffset>
          </wp:positionH>
          <wp:positionV relativeFrom="paragraph">
            <wp:posOffset>-133181</wp:posOffset>
          </wp:positionV>
          <wp:extent cx="1203325" cy="4540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3325" cy="454025"/>
                  </a:xfrm>
                  <a:prstGeom prst="rect">
                    <a:avLst/>
                  </a:prstGeom>
                </pic:spPr>
              </pic:pic>
            </a:graphicData>
          </a:graphic>
          <wp14:sizeRelH relativeFrom="page">
            <wp14:pctWidth>0</wp14:pctWidth>
          </wp14:sizeRelH>
          <wp14:sizeRelV relativeFrom="page">
            <wp14:pctHeight>0</wp14:pctHeight>
          </wp14:sizeRelV>
        </wp:anchor>
      </w:drawing>
    </w:r>
    <w:r w:rsidR="00565770" w:rsidRPr="004E1DE2">
      <w:rPr>
        <w:rFonts w:ascii="LM Roman 10" w:hAnsi="LM Roman 10"/>
        <w:sz w:val="22"/>
        <w:szCs w:val="22"/>
      </w:rPr>
      <w:t>Sergi Aliaga</w:t>
    </w:r>
    <w:r w:rsidR="00565770" w:rsidRPr="004E1DE2">
      <w:rPr>
        <w:rFonts w:ascii="LM Roman 10" w:hAnsi="LM Roman 10"/>
        <w:sz w:val="22"/>
        <w:szCs w:val="22"/>
      </w:rPr>
      <w:tab/>
    </w:r>
    <w:r w:rsidR="00565770" w:rsidRPr="004E1DE2">
      <w:rPr>
        <w:rFonts w:ascii="LM Roman 10" w:hAnsi="LM Roman 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0053"/>
    <w:multiLevelType w:val="hybridMultilevel"/>
    <w:tmpl w:val="CC345D94"/>
    <w:lvl w:ilvl="0" w:tplc="0C242B92">
      <w:start w:val="1"/>
      <w:numFmt w:val="lowerLetter"/>
      <w:lvlText w:val="%1)"/>
      <w:lvlJc w:val="left"/>
      <w:pPr>
        <w:ind w:left="6480" w:hanging="43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D9A5C84"/>
    <w:multiLevelType w:val="hybridMultilevel"/>
    <w:tmpl w:val="1E80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C50F1"/>
    <w:multiLevelType w:val="hybridMultilevel"/>
    <w:tmpl w:val="F1FAB5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C25C8"/>
    <w:multiLevelType w:val="hybridMultilevel"/>
    <w:tmpl w:val="87A2F5AE"/>
    <w:lvl w:ilvl="0" w:tplc="5CC425E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B5D72DB"/>
    <w:multiLevelType w:val="hybridMultilevel"/>
    <w:tmpl w:val="26501644"/>
    <w:lvl w:ilvl="0" w:tplc="7F6CCF60">
      <w:start w:val="1"/>
      <w:numFmt w:val="bullet"/>
      <w:lvlText w:val="-"/>
      <w:lvlJc w:val="left"/>
      <w:pPr>
        <w:ind w:left="720" w:hanging="360"/>
      </w:pPr>
      <w:rPr>
        <w:rFonts w:ascii="LM Roman 10" w:eastAsiaTheme="minorHAnsi" w:hAnsi="LM Roman 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30612"/>
    <w:multiLevelType w:val="hybridMultilevel"/>
    <w:tmpl w:val="985C81FA"/>
    <w:lvl w:ilvl="0" w:tplc="AEAC85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52C217E9"/>
    <w:multiLevelType w:val="hybridMultilevel"/>
    <w:tmpl w:val="3244D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70108"/>
    <w:multiLevelType w:val="hybridMultilevel"/>
    <w:tmpl w:val="5B903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4"/>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A3"/>
    <w:rsid w:val="00022B99"/>
    <w:rsid w:val="00024297"/>
    <w:rsid w:val="00037662"/>
    <w:rsid w:val="000616A3"/>
    <w:rsid w:val="00077109"/>
    <w:rsid w:val="00082CD6"/>
    <w:rsid w:val="000A0536"/>
    <w:rsid w:val="000B687A"/>
    <w:rsid w:val="000C1604"/>
    <w:rsid w:val="00107089"/>
    <w:rsid w:val="001154AE"/>
    <w:rsid w:val="0012437D"/>
    <w:rsid w:val="00151AE5"/>
    <w:rsid w:val="001536F1"/>
    <w:rsid w:val="00157765"/>
    <w:rsid w:val="0017194E"/>
    <w:rsid w:val="001B6759"/>
    <w:rsid w:val="001D3275"/>
    <w:rsid w:val="001D370E"/>
    <w:rsid w:val="001E391E"/>
    <w:rsid w:val="001E581B"/>
    <w:rsid w:val="001F2B61"/>
    <w:rsid w:val="00200BBE"/>
    <w:rsid w:val="00214630"/>
    <w:rsid w:val="0023141D"/>
    <w:rsid w:val="00236493"/>
    <w:rsid w:val="00240C6B"/>
    <w:rsid w:val="00241E9A"/>
    <w:rsid w:val="00246C32"/>
    <w:rsid w:val="00250129"/>
    <w:rsid w:val="002649F5"/>
    <w:rsid w:val="00277279"/>
    <w:rsid w:val="00281A9D"/>
    <w:rsid w:val="002F53D2"/>
    <w:rsid w:val="00302F2C"/>
    <w:rsid w:val="00307132"/>
    <w:rsid w:val="00315FE5"/>
    <w:rsid w:val="0032349C"/>
    <w:rsid w:val="00334452"/>
    <w:rsid w:val="00335668"/>
    <w:rsid w:val="00345F61"/>
    <w:rsid w:val="003501EB"/>
    <w:rsid w:val="003705EC"/>
    <w:rsid w:val="00375DB4"/>
    <w:rsid w:val="00377C7B"/>
    <w:rsid w:val="00384564"/>
    <w:rsid w:val="003E5634"/>
    <w:rsid w:val="003E7988"/>
    <w:rsid w:val="003F58B6"/>
    <w:rsid w:val="0043172E"/>
    <w:rsid w:val="00435A0A"/>
    <w:rsid w:val="00436255"/>
    <w:rsid w:val="00454146"/>
    <w:rsid w:val="00474D6C"/>
    <w:rsid w:val="00483659"/>
    <w:rsid w:val="004A069A"/>
    <w:rsid w:val="004C20D5"/>
    <w:rsid w:val="004E1DE2"/>
    <w:rsid w:val="004E4815"/>
    <w:rsid w:val="005079F0"/>
    <w:rsid w:val="00531A71"/>
    <w:rsid w:val="00532D35"/>
    <w:rsid w:val="00541024"/>
    <w:rsid w:val="00547553"/>
    <w:rsid w:val="00565770"/>
    <w:rsid w:val="00566E4E"/>
    <w:rsid w:val="0056766B"/>
    <w:rsid w:val="00596FC6"/>
    <w:rsid w:val="005D4D41"/>
    <w:rsid w:val="005D6FF2"/>
    <w:rsid w:val="005F371C"/>
    <w:rsid w:val="005F402A"/>
    <w:rsid w:val="005F7AC4"/>
    <w:rsid w:val="00602308"/>
    <w:rsid w:val="0062337A"/>
    <w:rsid w:val="0062594F"/>
    <w:rsid w:val="00632BB9"/>
    <w:rsid w:val="006339A1"/>
    <w:rsid w:val="006476C0"/>
    <w:rsid w:val="006567E9"/>
    <w:rsid w:val="006A3F09"/>
    <w:rsid w:val="006D13D8"/>
    <w:rsid w:val="006E5703"/>
    <w:rsid w:val="006E6525"/>
    <w:rsid w:val="006F4E5B"/>
    <w:rsid w:val="006F7787"/>
    <w:rsid w:val="007040E1"/>
    <w:rsid w:val="00721432"/>
    <w:rsid w:val="0076506F"/>
    <w:rsid w:val="0079353C"/>
    <w:rsid w:val="007939C2"/>
    <w:rsid w:val="007B1090"/>
    <w:rsid w:val="007D2D32"/>
    <w:rsid w:val="007D4094"/>
    <w:rsid w:val="00817EAB"/>
    <w:rsid w:val="00820629"/>
    <w:rsid w:val="008277F7"/>
    <w:rsid w:val="00844692"/>
    <w:rsid w:val="00874E92"/>
    <w:rsid w:val="008770F3"/>
    <w:rsid w:val="008A1007"/>
    <w:rsid w:val="008D2C0B"/>
    <w:rsid w:val="008D5B2E"/>
    <w:rsid w:val="008F1DB5"/>
    <w:rsid w:val="00925DB7"/>
    <w:rsid w:val="009419F3"/>
    <w:rsid w:val="00956337"/>
    <w:rsid w:val="00975B94"/>
    <w:rsid w:val="00987F48"/>
    <w:rsid w:val="0099556F"/>
    <w:rsid w:val="009C23F5"/>
    <w:rsid w:val="009D169A"/>
    <w:rsid w:val="009D7C3D"/>
    <w:rsid w:val="00A0239D"/>
    <w:rsid w:val="00A60BF2"/>
    <w:rsid w:val="00A94712"/>
    <w:rsid w:val="00A948D7"/>
    <w:rsid w:val="00AB2E6C"/>
    <w:rsid w:val="00AC0307"/>
    <w:rsid w:val="00AC44F7"/>
    <w:rsid w:val="00AC7F37"/>
    <w:rsid w:val="00AD0967"/>
    <w:rsid w:val="00AE4201"/>
    <w:rsid w:val="00AF28A7"/>
    <w:rsid w:val="00B03445"/>
    <w:rsid w:val="00B0384E"/>
    <w:rsid w:val="00B1222F"/>
    <w:rsid w:val="00B25A50"/>
    <w:rsid w:val="00B30789"/>
    <w:rsid w:val="00B532A6"/>
    <w:rsid w:val="00B579D0"/>
    <w:rsid w:val="00B86F4B"/>
    <w:rsid w:val="00C14219"/>
    <w:rsid w:val="00C20EE8"/>
    <w:rsid w:val="00C37562"/>
    <w:rsid w:val="00C37C47"/>
    <w:rsid w:val="00C905A0"/>
    <w:rsid w:val="00C9077C"/>
    <w:rsid w:val="00C93293"/>
    <w:rsid w:val="00CC7EC9"/>
    <w:rsid w:val="00CD5E2E"/>
    <w:rsid w:val="00CD705E"/>
    <w:rsid w:val="00CF1CB9"/>
    <w:rsid w:val="00CF7D12"/>
    <w:rsid w:val="00D07DE5"/>
    <w:rsid w:val="00D20F48"/>
    <w:rsid w:val="00D21545"/>
    <w:rsid w:val="00D451B9"/>
    <w:rsid w:val="00D46873"/>
    <w:rsid w:val="00D76AEA"/>
    <w:rsid w:val="00D9173A"/>
    <w:rsid w:val="00DD2681"/>
    <w:rsid w:val="00DD6606"/>
    <w:rsid w:val="00DF54E8"/>
    <w:rsid w:val="00DF5A7F"/>
    <w:rsid w:val="00E13352"/>
    <w:rsid w:val="00E20A71"/>
    <w:rsid w:val="00E43AD8"/>
    <w:rsid w:val="00E71F84"/>
    <w:rsid w:val="00E9200E"/>
    <w:rsid w:val="00EA57A3"/>
    <w:rsid w:val="00EB1CB8"/>
    <w:rsid w:val="00EC31CF"/>
    <w:rsid w:val="00EE0B90"/>
    <w:rsid w:val="00EE6B00"/>
    <w:rsid w:val="00EF4C1C"/>
    <w:rsid w:val="00F25D6E"/>
    <w:rsid w:val="00F27EB5"/>
    <w:rsid w:val="00F33B8D"/>
    <w:rsid w:val="00F345CF"/>
    <w:rsid w:val="00F976F8"/>
    <w:rsid w:val="00FD3011"/>
    <w:rsid w:val="00FE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62C38"/>
  <w15:chartTrackingRefBased/>
  <w15:docId w15:val="{8A5EEEC6-D792-FB48-BA68-CE4B1592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0B"/>
    <w:pPr>
      <w:tabs>
        <w:tab w:val="center" w:pos="4680"/>
        <w:tab w:val="right" w:pos="9360"/>
      </w:tabs>
    </w:pPr>
  </w:style>
  <w:style w:type="character" w:customStyle="1" w:styleId="HeaderChar">
    <w:name w:val="Header Char"/>
    <w:basedOn w:val="DefaultParagraphFont"/>
    <w:link w:val="Header"/>
    <w:uiPriority w:val="99"/>
    <w:rsid w:val="008D2C0B"/>
  </w:style>
  <w:style w:type="paragraph" w:styleId="Footer">
    <w:name w:val="footer"/>
    <w:basedOn w:val="Normal"/>
    <w:link w:val="FooterChar"/>
    <w:uiPriority w:val="99"/>
    <w:unhideWhenUsed/>
    <w:rsid w:val="008D2C0B"/>
    <w:pPr>
      <w:tabs>
        <w:tab w:val="center" w:pos="4680"/>
        <w:tab w:val="right" w:pos="9360"/>
      </w:tabs>
    </w:pPr>
  </w:style>
  <w:style w:type="character" w:customStyle="1" w:styleId="FooterChar">
    <w:name w:val="Footer Char"/>
    <w:basedOn w:val="DefaultParagraphFont"/>
    <w:link w:val="Footer"/>
    <w:uiPriority w:val="99"/>
    <w:rsid w:val="008D2C0B"/>
  </w:style>
  <w:style w:type="character" w:styleId="Hyperlink">
    <w:name w:val="Hyperlink"/>
    <w:basedOn w:val="DefaultParagraphFont"/>
    <w:uiPriority w:val="99"/>
    <w:unhideWhenUsed/>
    <w:rsid w:val="001154AE"/>
    <w:rPr>
      <w:color w:val="0563C1" w:themeColor="hyperlink"/>
      <w:u w:val="single"/>
    </w:rPr>
  </w:style>
  <w:style w:type="character" w:styleId="UnresolvedMention">
    <w:name w:val="Unresolved Mention"/>
    <w:basedOn w:val="DefaultParagraphFont"/>
    <w:uiPriority w:val="99"/>
    <w:semiHidden/>
    <w:unhideWhenUsed/>
    <w:rsid w:val="001154AE"/>
    <w:rPr>
      <w:color w:val="605E5C"/>
      <w:shd w:val="clear" w:color="auto" w:fill="E1DFDD"/>
    </w:rPr>
  </w:style>
  <w:style w:type="paragraph" w:styleId="ListParagraph">
    <w:name w:val="List Paragraph"/>
    <w:basedOn w:val="Normal"/>
    <w:uiPriority w:val="34"/>
    <w:qFormat/>
    <w:rsid w:val="005D4D41"/>
    <w:pPr>
      <w:ind w:left="720"/>
      <w:contextualSpacing/>
    </w:pPr>
  </w:style>
  <w:style w:type="table" w:styleId="TableGrid">
    <w:name w:val="Table Grid"/>
    <w:basedOn w:val="TableNormal"/>
    <w:uiPriority w:val="39"/>
    <w:rsid w:val="003F5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37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285">
      <w:bodyDiv w:val="1"/>
      <w:marLeft w:val="0"/>
      <w:marRight w:val="0"/>
      <w:marTop w:val="0"/>
      <w:marBottom w:val="0"/>
      <w:divBdr>
        <w:top w:val="none" w:sz="0" w:space="0" w:color="auto"/>
        <w:left w:val="none" w:sz="0" w:space="0" w:color="auto"/>
        <w:bottom w:val="none" w:sz="0" w:space="0" w:color="auto"/>
        <w:right w:val="none" w:sz="0" w:space="0" w:color="auto"/>
      </w:divBdr>
      <w:divsChild>
        <w:div w:id="506747440">
          <w:marLeft w:val="0"/>
          <w:marRight w:val="0"/>
          <w:marTop w:val="0"/>
          <w:marBottom w:val="0"/>
          <w:divBdr>
            <w:top w:val="none" w:sz="0" w:space="0" w:color="auto"/>
            <w:left w:val="none" w:sz="0" w:space="0" w:color="auto"/>
            <w:bottom w:val="none" w:sz="0" w:space="0" w:color="auto"/>
            <w:right w:val="none" w:sz="0" w:space="0" w:color="auto"/>
          </w:divBdr>
          <w:divsChild>
            <w:div w:id="425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037">
      <w:bodyDiv w:val="1"/>
      <w:marLeft w:val="0"/>
      <w:marRight w:val="0"/>
      <w:marTop w:val="0"/>
      <w:marBottom w:val="0"/>
      <w:divBdr>
        <w:top w:val="none" w:sz="0" w:space="0" w:color="auto"/>
        <w:left w:val="none" w:sz="0" w:space="0" w:color="auto"/>
        <w:bottom w:val="none" w:sz="0" w:space="0" w:color="auto"/>
        <w:right w:val="none" w:sz="0" w:space="0" w:color="auto"/>
      </w:divBdr>
    </w:div>
    <w:div w:id="1287347861">
      <w:bodyDiv w:val="1"/>
      <w:marLeft w:val="0"/>
      <w:marRight w:val="0"/>
      <w:marTop w:val="0"/>
      <w:marBottom w:val="0"/>
      <w:divBdr>
        <w:top w:val="none" w:sz="0" w:space="0" w:color="auto"/>
        <w:left w:val="none" w:sz="0" w:space="0" w:color="auto"/>
        <w:bottom w:val="none" w:sz="0" w:space="0" w:color="auto"/>
        <w:right w:val="none" w:sz="0" w:space="0" w:color="auto"/>
      </w:divBdr>
      <w:divsChild>
        <w:div w:id="23751162">
          <w:marLeft w:val="0"/>
          <w:marRight w:val="0"/>
          <w:marTop w:val="0"/>
          <w:marBottom w:val="0"/>
          <w:divBdr>
            <w:top w:val="none" w:sz="0" w:space="0" w:color="auto"/>
            <w:left w:val="none" w:sz="0" w:space="0" w:color="auto"/>
            <w:bottom w:val="none" w:sz="0" w:space="0" w:color="auto"/>
            <w:right w:val="none" w:sz="0" w:space="0" w:color="auto"/>
          </w:divBdr>
          <w:divsChild>
            <w:div w:id="130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050">
      <w:bodyDiv w:val="1"/>
      <w:marLeft w:val="0"/>
      <w:marRight w:val="0"/>
      <w:marTop w:val="0"/>
      <w:marBottom w:val="0"/>
      <w:divBdr>
        <w:top w:val="none" w:sz="0" w:space="0" w:color="auto"/>
        <w:left w:val="none" w:sz="0" w:space="0" w:color="auto"/>
        <w:bottom w:val="none" w:sz="0" w:space="0" w:color="auto"/>
        <w:right w:val="none" w:sz="0" w:space="0" w:color="auto"/>
      </w:divBdr>
    </w:div>
    <w:div w:id="15302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3_SergiAliaga/Question1/Q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3_SergiAliaga/Question1/Q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3_SergiAliaga/Question1/Q1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3_SergiAliaga/Question1/Q1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northeastern-my.sharepoint.com/personal/aliaga_s_northeastern_edu/Documents/Master/Courses/High%20Performance%20Computing/hw/Homework3_SergiAliaga/Question1/Q1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r>
              <a:rPr lang="en-US"/>
              <a:t>Sin(x) for x = 10, 20, 30, 40 degrees (average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tx>
            <c:strRef>
              <c:f>Sheet1!$B$1</c:f>
              <c:strCache>
                <c:ptCount val="1"/>
                <c:pt idx="0">
                  <c:v>SP</c:v>
                </c:pt>
              </c:strCache>
            </c:strRef>
          </c:tx>
          <c:spPr>
            <a:ln w="9525"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0.00E+00</c:formatCode>
                <c:ptCount val="9"/>
                <c:pt idx="0">
                  <c:v>100</c:v>
                </c:pt>
                <c:pt idx="1">
                  <c:v>1000</c:v>
                </c:pt>
                <c:pt idx="2">
                  <c:v>10000</c:v>
                </c:pt>
                <c:pt idx="3">
                  <c:v>20000</c:v>
                </c:pt>
                <c:pt idx="4">
                  <c:v>30000</c:v>
                </c:pt>
                <c:pt idx="5">
                  <c:v>40000</c:v>
                </c:pt>
                <c:pt idx="6">
                  <c:v>50000</c:v>
                </c:pt>
              </c:numCache>
            </c:numRef>
          </c:xVal>
          <c:yVal>
            <c:numRef>
              <c:f>Sheet1!$B$2:$B$10</c:f>
              <c:numCache>
                <c:formatCode>General</c:formatCode>
                <c:ptCount val="9"/>
                <c:pt idx="0">
                  <c:v>4.3999999999999999E-5</c:v>
                </c:pt>
                <c:pt idx="1">
                  <c:v>4.3229999999999996E-3</c:v>
                </c:pt>
                <c:pt idx="2">
                  <c:v>0.349333</c:v>
                </c:pt>
                <c:pt idx="3">
                  <c:v>1.374741</c:v>
                </c:pt>
                <c:pt idx="4">
                  <c:v>3.1058089999999998</c:v>
                </c:pt>
                <c:pt idx="5">
                  <c:v>5.516934</c:v>
                </c:pt>
                <c:pt idx="6">
                  <c:v>8.6129379999999998</c:v>
                </c:pt>
              </c:numCache>
            </c:numRef>
          </c:yVal>
          <c:smooth val="0"/>
          <c:extLst>
            <c:ext xmlns:c16="http://schemas.microsoft.com/office/drawing/2014/chart" uri="{C3380CC4-5D6E-409C-BE32-E72D297353CC}">
              <c16:uniqueId val="{00000000-B478-CC48-A1F2-0F914F76B79B}"/>
            </c:ext>
          </c:extLst>
        </c:ser>
        <c:ser>
          <c:idx val="1"/>
          <c:order val="1"/>
          <c:tx>
            <c:strRef>
              <c:f>Sheet1!$C$1</c:f>
              <c:strCache>
                <c:ptCount val="1"/>
                <c:pt idx="0">
                  <c:v>DP</c:v>
                </c:pt>
              </c:strCache>
            </c:strRef>
          </c:tx>
          <c:spPr>
            <a:ln w="63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0.00E+00</c:formatCode>
                <c:ptCount val="9"/>
                <c:pt idx="0">
                  <c:v>100</c:v>
                </c:pt>
                <c:pt idx="1">
                  <c:v>1000</c:v>
                </c:pt>
                <c:pt idx="2">
                  <c:v>10000</c:v>
                </c:pt>
                <c:pt idx="3">
                  <c:v>20000</c:v>
                </c:pt>
                <c:pt idx="4">
                  <c:v>30000</c:v>
                </c:pt>
                <c:pt idx="5">
                  <c:v>40000</c:v>
                </c:pt>
                <c:pt idx="6">
                  <c:v>50000</c:v>
                </c:pt>
              </c:numCache>
            </c:numRef>
          </c:xVal>
          <c:yVal>
            <c:numRef>
              <c:f>Sheet1!$C$2:$C$10</c:f>
              <c:numCache>
                <c:formatCode>General</c:formatCode>
                <c:ptCount val="9"/>
                <c:pt idx="0">
                  <c:v>4.3000000000000002E-5</c:v>
                </c:pt>
                <c:pt idx="1">
                  <c:v>4.2430000000000002E-3</c:v>
                </c:pt>
                <c:pt idx="2">
                  <c:v>0.34848400000000002</c:v>
                </c:pt>
                <c:pt idx="3">
                  <c:v>1.3723909999999999</c:v>
                </c:pt>
                <c:pt idx="4">
                  <c:v>3.093388</c:v>
                </c:pt>
                <c:pt idx="5">
                  <c:v>5.4907240000000002</c:v>
                </c:pt>
                <c:pt idx="6">
                  <c:v>8.5767670000000003</c:v>
                </c:pt>
              </c:numCache>
            </c:numRef>
          </c:yVal>
          <c:smooth val="0"/>
          <c:extLst>
            <c:ext xmlns:c16="http://schemas.microsoft.com/office/drawing/2014/chart" uri="{C3380CC4-5D6E-409C-BE32-E72D297353CC}">
              <c16:uniqueId val="{00000001-B478-CC48-A1F2-0F914F76B79B}"/>
            </c:ext>
          </c:extLst>
        </c:ser>
        <c:ser>
          <c:idx val="2"/>
          <c:order val="2"/>
          <c:tx>
            <c:strRef>
              <c:f>Sheet1!$E$1</c:f>
              <c:strCache>
                <c:ptCount val="1"/>
                <c:pt idx="0">
                  <c:v>SP_eff</c:v>
                </c:pt>
              </c:strCache>
            </c:strRef>
          </c:tx>
          <c:spPr>
            <a:ln w="9525"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0.00E+00</c:formatCode>
                <c:ptCount val="9"/>
                <c:pt idx="0">
                  <c:v>100</c:v>
                </c:pt>
                <c:pt idx="1">
                  <c:v>1000</c:v>
                </c:pt>
                <c:pt idx="2">
                  <c:v>10000</c:v>
                </c:pt>
                <c:pt idx="3">
                  <c:v>20000</c:v>
                </c:pt>
                <c:pt idx="4">
                  <c:v>30000</c:v>
                </c:pt>
                <c:pt idx="5">
                  <c:v>40000</c:v>
                </c:pt>
                <c:pt idx="6">
                  <c:v>50000</c:v>
                </c:pt>
              </c:numCache>
            </c:numRef>
          </c:xVal>
          <c:yVal>
            <c:numRef>
              <c:f>Sheet1!$E$2:$E$10</c:f>
              <c:numCache>
                <c:formatCode>General</c:formatCode>
                <c:ptCount val="9"/>
                <c:pt idx="0">
                  <c:v>9.9999999999999995E-7</c:v>
                </c:pt>
                <c:pt idx="1">
                  <c:v>6.9999999999999999E-6</c:v>
                </c:pt>
                <c:pt idx="2">
                  <c:v>1.1900000000000001E-4</c:v>
                </c:pt>
                <c:pt idx="3">
                  <c:v>1.3999999999999999E-4</c:v>
                </c:pt>
                <c:pt idx="4">
                  <c:v>2.0900000000000001E-4</c:v>
                </c:pt>
                <c:pt idx="5">
                  <c:v>2.7300000000000002E-4</c:v>
                </c:pt>
                <c:pt idx="6">
                  <c:v>3.4900000000000003E-4</c:v>
                </c:pt>
              </c:numCache>
            </c:numRef>
          </c:yVal>
          <c:smooth val="0"/>
          <c:extLst>
            <c:ext xmlns:c16="http://schemas.microsoft.com/office/drawing/2014/chart" uri="{C3380CC4-5D6E-409C-BE32-E72D297353CC}">
              <c16:uniqueId val="{00000002-B478-CC48-A1F2-0F914F76B79B}"/>
            </c:ext>
          </c:extLst>
        </c:ser>
        <c:ser>
          <c:idx val="3"/>
          <c:order val="3"/>
          <c:tx>
            <c:strRef>
              <c:f>Sheet1!$F$1</c:f>
              <c:strCache>
                <c:ptCount val="1"/>
                <c:pt idx="0">
                  <c:v>DP_eff</c:v>
                </c:pt>
              </c:strCache>
            </c:strRef>
          </c:tx>
          <c:spPr>
            <a:ln w="9525" cap="rnd">
              <a:solidFill>
                <a:schemeClr val="accent4"/>
              </a:solidFill>
              <a:round/>
            </a:ln>
            <a:effectLst/>
          </c:spPr>
          <c:marker>
            <c:symbol val="circle"/>
            <c:size val="5"/>
            <c:spPr>
              <a:solidFill>
                <a:schemeClr val="accent4"/>
              </a:solidFill>
              <a:ln w="9525">
                <a:solidFill>
                  <a:schemeClr val="accent4"/>
                </a:solidFill>
              </a:ln>
              <a:effectLst/>
            </c:spPr>
          </c:marker>
          <c:xVal>
            <c:numRef>
              <c:f>Sheet1!$A$2:$A$10</c:f>
              <c:numCache>
                <c:formatCode>0.00E+00</c:formatCode>
                <c:ptCount val="9"/>
                <c:pt idx="0">
                  <c:v>100</c:v>
                </c:pt>
                <c:pt idx="1">
                  <c:v>1000</c:v>
                </c:pt>
                <c:pt idx="2">
                  <c:v>10000</c:v>
                </c:pt>
                <c:pt idx="3">
                  <c:v>20000</c:v>
                </c:pt>
                <c:pt idx="4">
                  <c:v>30000</c:v>
                </c:pt>
                <c:pt idx="5">
                  <c:v>40000</c:v>
                </c:pt>
                <c:pt idx="6">
                  <c:v>50000</c:v>
                </c:pt>
              </c:numCache>
            </c:numRef>
          </c:xVal>
          <c:yVal>
            <c:numRef>
              <c:f>Sheet1!$F$2:$F$10</c:f>
              <c:numCache>
                <c:formatCode>General</c:formatCode>
                <c:ptCount val="9"/>
                <c:pt idx="0">
                  <c:v>9.9999999999999995E-7</c:v>
                </c:pt>
                <c:pt idx="1">
                  <c:v>6.9999999999999999E-6</c:v>
                </c:pt>
                <c:pt idx="2">
                  <c:v>1.1900000000000001E-4</c:v>
                </c:pt>
                <c:pt idx="3">
                  <c:v>1.3999999999999999E-4</c:v>
                </c:pt>
                <c:pt idx="4">
                  <c:v>2.0900000000000001E-4</c:v>
                </c:pt>
                <c:pt idx="5">
                  <c:v>2.7700000000000001E-4</c:v>
                </c:pt>
                <c:pt idx="6">
                  <c:v>3.4900000000000003E-4</c:v>
                </c:pt>
              </c:numCache>
            </c:numRef>
          </c:yVal>
          <c:smooth val="0"/>
          <c:extLst>
            <c:ext xmlns:c16="http://schemas.microsoft.com/office/drawing/2014/chart" uri="{C3380CC4-5D6E-409C-BE32-E72D297353CC}">
              <c16:uniqueId val="{00000003-B478-CC48-A1F2-0F914F76B79B}"/>
            </c:ext>
          </c:extLst>
        </c:ser>
        <c:dLbls>
          <c:showLegendKey val="0"/>
          <c:showVal val="0"/>
          <c:showCatName val="0"/>
          <c:showSerName val="0"/>
          <c:showPercent val="0"/>
          <c:showBubbleSize val="0"/>
        </c:dLbls>
        <c:axId val="1375280767"/>
        <c:axId val="1375282415"/>
      </c:scatterChart>
      <c:valAx>
        <c:axId val="1375280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Number of terms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1375282415"/>
        <c:crosses val="autoZero"/>
        <c:crossBetween val="midCat"/>
      </c:valAx>
      <c:valAx>
        <c:axId val="1375282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Avg. Comp.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1375280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LM Roman 10" pitchFamily="2" charset="77"/>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720" b="0" i="0" u="none" strike="noStrike" kern="1200" spc="0" baseline="0">
                <a:solidFill>
                  <a:schemeClr val="tx1">
                    <a:lumMod val="65000"/>
                    <a:lumOff val="35000"/>
                  </a:schemeClr>
                </a:solidFill>
                <a:latin typeface="LM Roman 10" pitchFamily="2" charset="77"/>
                <a:ea typeface="+mn-ea"/>
                <a:cs typeface="+mn-cs"/>
              </a:defRPr>
            </a:pPr>
            <a:r>
              <a:rPr lang="en-US"/>
              <a:t>Sin(x) for x = 10, 20, 30, 40 degrees (average time)</a:t>
            </a:r>
          </a:p>
        </c:rich>
      </c:tx>
      <c:overlay val="0"/>
      <c:spPr>
        <a:noFill/>
        <a:ln>
          <a:noFill/>
        </a:ln>
        <a:effectLst/>
      </c:spPr>
      <c:txPr>
        <a:bodyPr rot="0" spcFirstLastPara="1" vertOverflow="ellipsis" vert="horz" wrap="square" anchor="ctr" anchorCtr="1"/>
        <a:lstStyle/>
        <a:p>
          <a:pPr algn="ctr" rtl="0">
            <a:defRPr sz="72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manualLayout>
          <c:layoutTarget val="inner"/>
          <c:xMode val="edge"/>
          <c:yMode val="edge"/>
          <c:x val="0.14264676469954737"/>
          <c:y val="0.18054416838062606"/>
          <c:w val="0.76078223223269414"/>
          <c:h val="0.52404892903031464"/>
        </c:manualLayout>
      </c:layout>
      <c:scatterChart>
        <c:scatterStyle val="lineMarker"/>
        <c:varyColors val="0"/>
        <c:ser>
          <c:idx val="0"/>
          <c:order val="0"/>
          <c:tx>
            <c:strRef>
              <c:f>Sheet2!$B$1</c:f>
              <c:strCache>
                <c:ptCount val="1"/>
                <c:pt idx="0">
                  <c:v>regular SP</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xVal>
            <c:numRef>
              <c:f>Sheet2!$A$2:$A$8</c:f>
              <c:numCache>
                <c:formatCode>0.00E+00</c:formatCode>
                <c:ptCount val="7"/>
                <c:pt idx="0">
                  <c:v>100</c:v>
                </c:pt>
                <c:pt idx="1">
                  <c:v>1000</c:v>
                </c:pt>
                <c:pt idx="2">
                  <c:v>10000</c:v>
                </c:pt>
                <c:pt idx="3">
                  <c:v>100000</c:v>
                </c:pt>
                <c:pt idx="4">
                  <c:v>1000000</c:v>
                </c:pt>
                <c:pt idx="5">
                  <c:v>10000000</c:v>
                </c:pt>
                <c:pt idx="6">
                  <c:v>100000000</c:v>
                </c:pt>
              </c:numCache>
            </c:numRef>
          </c:xVal>
          <c:yVal>
            <c:numRef>
              <c:f>Sheet2!$B$2:$B$8</c:f>
              <c:numCache>
                <c:formatCode>General</c:formatCode>
                <c:ptCount val="7"/>
                <c:pt idx="0">
                  <c:v>7.9999999999999996E-6</c:v>
                </c:pt>
                <c:pt idx="1">
                  <c:v>2.3699999999999999E-4</c:v>
                </c:pt>
                <c:pt idx="2">
                  <c:v>2.5279999999999999E-3</c:v>
                </c:pt>
                <c:pt idx="3">
                  <c:v>1.9865000000000001E-2</c:v>
                </c:pt>
                <c:pt idx="4">
                  <c:v>0.12764300000000001</c:v>
                </c:pt>
                <c:pt idx="5">
                  <c:v>1.0263389999999999</c:v>
                </c:pt>
                <c:pt idx="6">
                  <c:v>9.9055890000000009</c:v>
                </c:pt>
              </c:numCache>
            </c:numRef>
          </c:yVal>
          <c:smooth val="0"/>
          <c:extLst>
            <c:ext xmlns:c16="http://schemas.microsoft.com/office/drawing/2014/chart" uri="{C3380CC4-5D6E-409C-BE32-E72D297353CC}">
              <c16:uniqueId val="{00000000-87CA-7F42-B6AA-26FCE0E37BCF}"/>
            </c:ext>
          </c:extLst>
        </c:ser>
        <c:ser>
          <c:idx val="1"/>
          <c:order val="1"/>
          <c:tx>
            <c:strRef>
              <c:f>Sheet2!$C$1</c:f>
              <c:strCache>
                <c:ptCount val="1"/>
                <c:pt idx="0">
                  <c:v>AVX-512 SP</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Sheet2!$A$2:$A$8</c:f>
              <c:numCache>
                <c:formatCode>0.00E+00</c:formatCode>
                <c:ptCount val="7"/>
                <c:pt idx="0">
                  <c:v>100</c:v>
                </c:pt>
                <c:pt idx="1">
                  <c:v>1000</c:v>
                </c:pt>
                <c:pt idx="2">
                  <c:v>10000</c:v>
                </c:pt>
                <c:pt idx="3">
                  <c:v>100000</c:v>
                </c:pt>
                <c:pt idx="4">
                  <c:v>1000000</c:v>
                </c:pt>
                <c:pt idx="5">
                  <c:v>10000000</c:v>
                </c:pt>
                <c:pt idx="6">
                  <c:v>100000000</c:v>
                </c:pt>
              </c:numCache>
            </c:numRef>
          </c:xVal>
          <c:yVal>
            <c:numRef>
              <c:f>Sheet2!$C$2:$C$8</c:f>
              <c:numCache>
                <c:formatCode>General</c:formatCode>
                <c:ptCount val="7"/>
                <c:pt idx="0">
                  <c:v>7.9999999999999996E-6</c:v>
                </c:pt>
                <c:pt idx="1">
                  <c:v>2.5799999999999998E-4</c:v>
                </c:pt>
                <c:pt idx="2">
                  <c:v>2.99E-3</c:v>
                </c:pt>
                <c:pt idx="3">
                  <c:v>2.2342000000000001E-2</c:v>
                </c:pt>
                <c:pt idx="4">
                  <c:v>0.10795299999999999</c:v>
                </c:pt>
                <c:pt idx="5">
                  <c:v>0.857209</c:v>
                </c:pt>
                <c:pt idx="6">
                  <c:v>8.3378840000000007</c:v>
                </c:pt>
              </c:numCache>
            </c:numRef>
          </c:yVal>
          <c:smooth val="0"/>
          <c:extLst>
            <c:ext xmlns:c16="http://schemas.microsoft.com/office/drawing/2014/chart" uri="{C3380CC4-5D6E-409C-BE32-E72D297353CC}">
              <c16:uniqueId val="{00000001-87CA-7F42-B6AA-26FCE0E37BCF}"/>
            </c:ext>
          </c:extLst>
        </c:ser>
        <c:dLbls>
          <c:showLegendKey val="0"/>
          <c:showVal val="0"/>
          <c:showCatName val="0"/>
          <c:showSerName val="0"/>
          <c:showPercent val="0"/>
          <c:showBubbleSize val="0"/>
        </c:dLbls>
        <c:axId val="848274576"/>
        <c:axId val="847548528"/>
      </c:scatterChart>
      <c:valAx>
        <c:axId val="8482745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r>
                  <a:rPr lang="en-US"/>
                  <a:t>Number of terms</a:t>
                </a:r>
              </a:p>
            </c:rich>
          </c:tx>
          <c:layout>
            <c:manualLayout>
              <c:xMode val="edge"/>
              <c:yMode val="edge"/>
              <c:x val="0.42586117239448229"/>
              <c:y val="0.791303283742251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LM Roman 10" pitchFamily="2" charset="77"/>
                <a:ea typeface="+mn-ea"/>
                <a:cs typeface="+mn-cs"/>
              </a:defRPr>
            </a:pPr>
            <a:endParaRPr lang="en-US"/>
          </a:p>
        </c:txPr>
        <c:crossAx val="847548528"/>
        <c:crosses val="autoZero"/>
        <c:crossBetween val="midCat"/>
      </c:valAx>
      <c:valAx>
        <c:axId val="84754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r>
                  <a:rPr lang="en-US"/>
                  <a:t>Computing time (s)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crossAx val="848274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latin typeface="LM Roman 10" pitchFamily="2" charset="77"/>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LM Roman 10" pitchFamily="2" charset="77"/>
                <a:ea typeface="+mn-ea"/>
                <a:cs typeface="+mn-cs"/>
              </a:defRPr>
            </a:pPr>
            <a:r>
              <a:rPr lang="en-US"/>
              <a:t>Relative difference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tx>
            <c:strRef>
              <c:f>Sheet2!$D$1</c:f>
              <c:strCache>
                <c:ptCount val="1"/>
                <c:pt idx="0">
                  <c:v>difference (%)</c:v>
                </c:pt>
              </c:strCache>
            </c:strRef>
          </c:tx>
          <c:spPr>
            <a:ln w="12700" cap="rnd">
              <a:solidFill>
                <a:schemeClr val="accent6"/>
              </a:solidFill>
              <a:round/>
            </a:ln>
            <a:effectLst/>
          </c:spPr>
          <c:marker>
            <c:symbol val="circle"/>
            <c:size val="5"/>
            <c:spPr>
              <a:solidFill>
                <a:schemeClr val="accent6"/>
              </a:solidFill>
              <a:ln w="9525">
                <a:solidFill>
                  <a:schemeClr val="accent6"/>
                </a:solidFill>
              </a:ln>
              <a:effectLst/>
            </c:spPr>
          </c:marker>
          <c:xVal>
            <c:numRef>
              <c:f>Sheet2!$A$2:$A$9</c:f>
              <c:numCache>
                <c:formatCode>0.00E+00</c:formatCode>
                <c:ptCount val="8"/>
                <c:pt idx="0">
                  <c:v>100</c:v>
                </c:pt>
                <c:pt idx="1">
                  <c:v>1000</c:v>
                </c:pt>
                <c:pt idx="2">
                  <c:v>10000</c:v>
                </c:pt>
                <c:pt idx="3">
                  <c:v>100000</c:v>
                </c:pt>
                <c:pt idx="4">
                  <c:v>1000000</c:v>
                </c:pt>
                <c:pt idx="5">
                  <c:v>10000000</c:v>
                </c:pt>
                <c:pt idx="6">
                  <c:v>100000000</c:v>
                </c:pt>
                <c:pt idx="7">
                  <c:v>1000000000</c:v>
                </c:pt>
              </c:numCache>
            </c:numRef>
          </c:xVal>
          <c:yVal>
            <c:numRef>
              <c:f>Sheet2!$D$2:$D$9</c:f>
              <c:numCache>
                <c:formatCode>General</c:formatCode>
                <c:ptCount val="8"/>
                <c:pt idx="0">
                  <c:v>0</c:v>
                </c:pt>
                <c:pt idx="1">
                  <c:v>-8.8607594936708836</c:v>
                </c:pt>
                <c:pt idx="2">
                  <c:v>-18.27531645569621</c:v>
                </c:pt>
                <c:pt idx="3">
                  <c:v>-12.469166876415807</c:v>
                </c:pt>
                <c:pt idx="4">
                  <c:v>15.425836121056392</c:v>
                </c:pt>
                <c:pt idx="5">
                  <c:v>16.478960655300043</c:v>
                </c:pt>
                <c:pt idx="6">
                  <c:v>15.826469279111016</c:v>
                </c:pt>
                <c:pt idx="7">
                  <c:v>17.348724345680669</c:v>
                </c:pt>
              </c:numCache>
            </c:numRef>
          </c:yVal>
          <c:smooth val="0"/>
          <c:extLst>
            <c:ext xmlns:c16="http://schemas.microsoft.com/office/drawing/2014/chart" uri="{C3380CC4-5D6E-409C-BE32-E72D297353CC}">
              <c16:uniqueId val="{00000000-C90E-2F49-A6D1-7BC14AC97B48}"/>
            </c:ext>
          </c:extLst>
        </c:ser>
        <c:dLbls>
          <c:showLegendKey val="0"/>
          <c:showVal val="0"/>
          <c:showCatName val="0"/>
          <c:showSerName val="0"/>
          <c:showPercent val="0"/>
          <c:showBubbleSize val="0"/>
        </c:dLbls>
        <c:axId val="828619952"/>
        <c:axId val="828533984"/>
      </c:scatterChart>
      <c:valAx>
        <c:axId val="82861995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r>
                  <a:rPr lang="en-US"/>
                  <a:t>Number of terms</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LM Roman 10" pitchFamily="2" charset="77"/>
                <a:ea typeface="+mn-ea"/>
                <a:cs typeface="+mn-cs"/>
              </a:defRPr>
            </a:pPr>
            <a:endParaRPr lang="en-US"/>
          </a:p>
        </c:txPr>
        <c:crossAx val="828533984"/>
        <c:crosses val="autoZero"/>
        <c:crossBetween val="midCat"/>
      </c:valAx>
      <c:valAx>
        <c:axId val="82853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crossAx val="828619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latin typeface="LM Roman 10" pitchFamily="2" charset="77"/>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LM Roman 10" pitchFamily="2" charset="77"/>
                <a:ea typeface="+mn-ea"/>
                <a:cs typeface="+mn-cs"/>
              </a:defRPr>
            </a:pPr>
            <a:r>
              <a:rPr lang="en-US"/>
              <a:t>Sin(x) for x = 10, 20, 30, 40 degrees (average time)</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manualLayout>
          <c:layoutTarget val="inner"/>
          <c:xMode val="edge"/>
          <c:yMode val="edge"/>
          <c:x val="0.14074063048357141"/>
          <c:y val="0.19531224940238434"/>
          <c:w val="0.75964786065257905"/>
          <c:h val="0.46571862804249375"/>
        </c:manualLayout>
      </c:layout>
      <c:scatterChart>
        <c:scatterStyle val="lineMarker"/>
        <c:varyColors val="0"/>
        <c:ser>
          <c:idx val="0"/>
          <c:order val="0"/>
          <c:tx>
            <c:strRef>
              <c:f>Sheet2!$H$1</c:f>
              <c:strCache>
                <c:ptCount val="1"/>
                <c:pt idx="0">
                  <c:v>regular</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xVal>
            <c:numRef>
              <c:f>Sheet2!$G$2:$G$7</c:f>
              <c:numCache>
                <c:formatCode>0.00E+00</c:formatCode>
                <c:ptCount val="6"/>
                <c:pt idx="0">
                  <c:v>10000000</c:v>
                </c:pt>
                <c:pt idx="1">
                  <c:v>20000000</c:v>
                </c:pt>
                <c:pt idx="2">
                  <c:v>30000000</c:v>
                </c:pt>
                <c:pt idx="3">
                  <c:v>40000000</c:v>
                </c:pt>
                <c:pt idx="4">
                  <c:v>50000000</c:v>
                </c:pt>
                <c:pt idx="5">
                  <c:v>60000000</c:v>
                </c:pt>
              </c:numCache>
            </c:numRef>
          </c:xVal>
          <c:yVal>
            <c:numRef>
              <c:f>Sheet2!$H$2:$H$7</c:f>
              <c:numCache>
                <c:formatCode>General</c:formatCode>
                <c:ptCount val="6"/>
                <c:pt idx="0">
                  <c:v>1.0263389999999999</c:v>
                </c:pt>
                <c:pt idx="1">
                  <c:v>2.0342750000000001</c:v>
                </c:pt>
                <c:pt idx="2">
                  <c:v>3.0360209999999999</c:v>
                </c:pt>
                <c:pt idx="3">
                  <c:v>4.0706490000000004</c:v>
                </c:pt>
                <c:pt idx="4">
                  <c:v>5.0671780000000002</c:v>
                </c:pt>
                <c:pt idx="5">
                  <c:v>6.0655029999999996</c:v>
                </c:pt>
              </c:numCache>
            </c:numRef>
          </c:yVal>
          <c:smooth val="0"/>
          <c:extLst>
            <c:ext xmlns:c16="http://schemas.microsoft.com/office/drawing/2014/chart" uri="{C3380CC4-5D6E-409C-BE32-E72D297353CC}">
              <c16:uniqueId val="{00000000-E921-7A44-9C2E-ACA2A819AE3F}"/>
            </c:ext>
          </c:extLst>
        </c:ser>
        <c:ser>
          <c:idx val="1"/>
          <c:order val="1"/>
          <c:tx>
            <c:strRef>
              <c:f>Sheet2!$I$1</c:f>
              <c:strCache>
                <c:ptCount val="1"/>
                <c:pt idx="0">
                  <c:v>AVX-512</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xVal>
            <c:numRef>
              <c:f>Sheet2!$G$2:$G$7</c:f>
              <c:numCache>
                <c:formatCode>0.00E+00</c:formatCode>
                <c:ptCount val="6"/>
                <c:pt idx="0">
                  <c:v>10000000</c:v>
                </c:pt>
                <c:pt idx="1">
                  <c:v>20000000</c:v>
                </c:pt>
                <c:pt idx="2">
                  <c:v>30000000</c:v>
                </c:pt>
                <c:pt idx="3">
                  <c:v>40000000</c:v>
                </c:pt>
                <c:pt idx="4">
                  <c:v>50000000</c:v>
                </c:pt>
                <c:pt idx="5">
                  <c:v>60000000</c:v>
                </c:pt>
              </c:numCache>
            </c:numRef>
          </c:xVal>
          <c:yVal>
            <c:numRef>
              <c:f>Sheet2!$I$2:$I$7</c:f>
              <c:numCache>
                <c:formatCode>General</c:formatCode>
                <c:ptCount val="6"/>
                <c:pt idx="0">
                  <c:v>0.857209</c:v>
                </c:pt>
                <c:pt idx="1">
                  <c:v>1.689592</c:v>
                </c:pt>
                <c:pt idx="2">
                  <c:v>2.5205310000000001</c:v>
                </c:pt>
                <c:pt idx="3">
                  <c:v>3.3516499999999998</c:v>
                </c:pt>
                <c:pt idx="4">
                  <c:v>4.1825770000000002</c:v>
                </c:pt>
                <c:pt idx="5">
                  <c:v>5.0139740000000002</c:v>
                </c:pt>
              </c:numCache>
            </c:numRef>
          </c:yVal>
          <c:smooth val="0"/>
          <c:extLst>
            <c:ext xmlns:c16="http://schemas.microsoft.com/office/drawing/2014/chart" uri="{C3380CC4-5D6E-409C-BE32-E72D297353CC}">
              <c16:uniqueId val="{00000001-E921-7A44-9C2E-ACA2A819AE3F}"/>
            </c:ext>
          </c:extLst>
        </c:ser>
        <c:dLbls>
          <c:showLegendKey val="0"/>
          <c:showVal val="0"/>
          <c:showCatName val="0"/>
          <c:showSerName val="0"/>
          <c:showPercent val="0"/>
          <c:showBubbleSize val="0"/>
        </c:dLbls>
        <c:axId val="828942832"/>
        <c:axId val="829118816"/>
      </c:scatterChart>
      <c:valAx>
        <c:axId val="82894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r>
                  <a:rPr lang="en-US"/>
                  <a:t>Number of terms</a:t>
                </a:r>
              </a:p>
            </c:rich>
          </c:tx>
          <c:layout>
            <c:manualLayout>
              <c:xMode val="edge"/>
              <c:yMode val="edge"/>
              <c:x val="0.41400056561927867"/>
              <c:y val="0.7677661776274086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crossAx val="829118816"/>
        <c:crosses val="autoZero"/>
        <c:crossBetween val="midCat"/>
      </c:valAx>
      <c:valAx>
        <c:axId val="82911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r>
                  <a:rPr lang="en-US"/>
                  <a:t>Computing time (s)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crossAx val="828942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LM Roman 10" pitchFamily="2"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latin typeface="LM Roman 10" pitchFamily="2" charset="77"/>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LM Roman 10" pitchFamily="2" charset="77"/>
              <a:ea typeface="+mn-ea"/>
              <a:cs typeface="+mn-cs"/>
            </a:defRPr>
          </a:pPr>
          <a:endParaRPr lang="en-US"/>
        </a:p>
      </c:txPr>
    </c:title>
    <c:autoTitleDeleted val="0"/>
    <c:plotArea>
      <c:layout/>
      <c:scatterChart>
        <c:scatterStyle val="lineMarker"/>
        <c:varyColors val="0"/>
        <c:ser>
          <c:idx val="0"/>
          <c:order val="0"/>
          <c:tx>
            <c:strRef>
              <c:f>Sheet2!$J$1</c:f>
              <c:strCache>
                <c:ptCount val="1"/>
                <c:pt idx="0">
                  <c:v>Relative difference(%)</c:v>
                </c:pt>
              </c:strCache>
            </c:strRef>
          </c:tx>
          <c:spPr>
            <a:ln w="12700" cap="rnd">
              <a:solidFill>
                <a:schemeClr val="accent6"/>
              </a:solidFill>
              <a:round/>
            </a:ln>
            <a:effectLst/>
          </c:spPr>
          <c:marker>
            <c:symbol val="circle"/>
            <c:size val="5"/>
            <c:spPr>
              <a:solidFill>
                <a:schemeClr val="accent6"/>
              </a:solidFill>
              <a:ln w="9525">
                <a:solidFill>
                  <a:schemeClr val="accent6"/>
                </a:solidFill>
              </a:ln>
              <a:effectLst/>
            </c:spPr>
          </c:marker>
          <c:xVal>
            <c:numRef>
              <c:f>Sheet2!$G$2:$G$7</c:f>
              <c:numCache>
                <c:formatCode>0.00E+00</c:formatCode>
                <c:ptCount val="6"/>
                <c:pt idx="0">
                  <c:v>10000000</c:v>
                </c:pt>
                <c:pt idx="1">
                  <c:v>20000000</c:v>
                </c:pt>
                <c:pt idx="2">
                  <c:v>30000000</c:v>
                </c:pt>
                <c:pt idx="3">
                  <c:v>40000000</c:v>
                </c:pt>
                <c:pt idx="4">
                  <c:v>50000000</c:v>
                </c:pt>
                <c:pt idx="5">
                  <c:v>60000000</c:v>
                </c:pt>
              </c:numCache>
            </c:numRef>
          </c:xVal>
          <c:yVal>
            <c:numRef>
              <c:f>Sheet2!$J$2:$J$7</c:f>
              <c:numCache>
                <c:formatCode>General</c:formatCode>
                <c:ptCount val="6"/>
                <c:pt idx="0">
                  <c:v>16.478960655300043</c:v>
                </c:pt>
                <c:pt idx="1">
                  <c:v>16.943776038146272</c:v>
                </c:pt>
                <c:pt idx="2">
                  <c:v>16.979131567271761</c:v>
                </c:pt>
                <c:pt idx="3">
                  <c:v>17.663006562344247</c:v>
                </c:pt>
                <c:pt idx="4">
                  <c:v>17.457468437066943</c:v>
                </c:pt>
                <c:pt idx="5">
                  <c:v>17.336220920177592</c:v>
                </c:pt>
              </c:numCache>
            </c:numRef>
          </c:yVal>
          <c:smooth val="0"/>
          <c:extLst>
            <c:ext xmlns:c16="http://schemas.microsoft.com/office/drawing/2014/chart" uri="{C3380CC4-5D6E-409C-BE32-E72D297353CC}">
              <c16:uniqueId val="{00000000-0270-9942-88E5-E56BCC87AB2D}"/>
            </c:ext>
          </c:extLst>
        </c:ser>
        <c:dLbls>
          <c:showLegendKey val="0"/>
          <c:showVal val="0"/>
          <c:showCatName val="0"/>
          <c:showSerName val="0"/>
          <c:showPercent val="0"/>
          <c:showBubbleSize val="0"/>
        </c:dLbls>
        <c:axId val="328000912"/>
        <c:axId val="397506416"/>
      </c:scatterChart>
      <c:valAx>
        <c:axId val="328000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LM Roman 10" pitchFamily="2" charset="77"/>
                    <a:ea typeface="+mn-ea"/>
                    <a:cs typeface="+mn-cs"/>
                  </a:defRPr>
                </a:pPr>
                <a:r>
                  <a:rPr lang="en-US"/>
                  <a:t>Number of terms</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LM Roman 10" pitchFamily="2" charset="77"/>
                <a:ea typeface="+mn-ea"/>
                <a:cs typeface="+mn-cs"/>
              </a:defRPr>
            </a:pPr>
            <a:endParaRPr lang="en-US"/>
          </a:p>
        </c:txPr>
        <c:crossAx val="397506416"/>
        <c:crosses val="autoZero"/>
        <c:crossBetween val="midCat"/>
      </c:valAx>
      <c:valAx>
        <c:axId val="397506416"/>
        <c:scaling>
          <c:orientation val="minMax"/>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LM Roman 10" pitchFamily="2" charset="77"/>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LM Roman 10" pitchFamily="2" charset="77"/>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LM Roman 10" pitchFamily="2" charset="77"/>
                <a:ea typeface="+mn-ea"/>
                <a:cs typeface="+mn-cs"/>
              </a:defRPr>
            </a:pPr>
            <a:endParaRPr lang="en-US"/>
          </a:p>
        </c:txPr>
        <c:crossAx val="328000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latin typeface="LM Roman 10" pitchFamily="2" charset="77"/>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Aliaga</dc:creator>
  <cp:keywords/>
  <dc:description/>
  <cp:lastModifiedBy>Sergi Aliaga</cp:lastModifiedBy>
  <cp:revision>82</cp:revision>
  <dcterms:created xsi:type="dcterms:W3CDTF">2022-02-07T17:55:00Z</dcterms:created>
  <dcterms:modified xsi:type="dcterms:W3CDTF">2022-03-05T01:05:00Z</dcterms:modified>
</cp:coreProperties>
</file>