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Draft the conviction and sentence portion for a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FINDING &amp; SENTENCE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The charge under Section 337 PPC (Causing Hurt) stands PROVED beyond reasonable doubt. Verdict: CONVICTED.</w:t>
      </w:r>
    </w:p>
    <w:p>
      <w:r>
        <w:t>Having regard to the nature of the injuries (simple hurt), the absence of any previous convictions against the accused, and the fact that this is his first offence:</w:t>
      </w:r>
    </w:p>
    <w:p>
      <w:r>
        <w:t xml:space="preserve">  (i)  The accused, Muhammad Ali, is hereby sentenced to pay a FINE of Rs. 5,000/- (Five Thousand) under Section 337 PPC.</w:t>
      </w:r>
    </w:p>
    <w:p>
      <w:r>
        <w:t xml:space="preserve">  (ii) In default of payment of fine, the accused shall undergo SIMPLE IMPRISONMENT for a period of ONE (1) MONTH.</w:t>
      </w:r>
    </w:p>
    <w:p>
      <w:r>
        <w:t xml:space="preserve">  (iii) The accused is also directed to pay COMPENSATION of Rs. 10,000/- (Ten Thousand) to the victim, Muhammad Khan, under Section 544-A Cr.P.C. for the injuries caused.</w:t>
      </w:r>
    </w:p>
    <w:p>
      <w:r>
        <w:t xml:space="preserve">  (iv) Benefit of Section 382-B Cr.P.C. is extended to the accused; period of detention from 15.02.2023 to date is set off against the sentence.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OPERATIVE PART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(i)  Accused CONVICTED under Section 337 PPC.</w:t>
      </w:r>
    </w:p>
    <w:p>
      <w:r>
        <w:t xml:space="preserve">  (ii) Sentence: Fine of Rs. 5,000/-; in default, one month's simple imprisonment.</w:t>
      </w:r>
    </w:p>
    <w:p>
      <w:r>
        <w:t xml:space="preserve">  (iii) Compensation of Rs. 10,000/- payable to the victim.</w:t>
      </w:r>
    </w:p>
    <w:p>
      <w:r>
        <w:t xml:space="preserve">  (iv) S.382-B Cr.P.C. benefit extended.</w:t>
      </w:r>
    </w:p>
    <w:p>
      <w:r>
        <w:t xml:space="preserve">  (v)  Jail warrant to issue. Convict to be released after payment of fine and compensation.</w:t>
      </w:r>
    </w:p>
    <w:p>
      <w:r>
        <w:t>Announced in open court on 20.06.2023.</w:t>
      </w:r>
    </w:p>
    <w:p>
      <w:r>
        <w:t xml:space="preserve">                                                     (Signature)</w:t>
      </w:r>
    </w:p>
    <w:p>
      <w:r>
        <w:t xml:space="preserve">                                  Judicial Magistrate 1st Class, Lahore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