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lq0k6lltg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APPLICABLE LAWS TO SITUATIONS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Pure Khula (Aversion)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Muslim Personal Law — right to seek separation by relinquishing financial rights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2(ix), 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10(3) &amp; 10(4), FCA 1964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PLD 2022 FSC 25, </w:t>
      </w:r>
      <w:r w:rsidDel="00000000" w:rsidR="00000000" w:rsidRPr="00000000">
        <w:rPr>
          <w:i w:val="1"/>
          <w:iCs w:val="1"/>
          <w:rtl w:val="0"/>
        </w:rPr>
        <w:t xml:space="preserve">Imran Anwar Khan v. Government of Punjab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Fault-Based Dissolution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2, DMMA 1939 (9 enumerated grounds)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10(4), FCA 1964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11, FCA 1964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Recovery of Haq Mehr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10(5)-(6), FCA 1964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PLD 2022 FSC 25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7(2), FCA 1964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Recovery of Dowry Articles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5, DMMA 1939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7(2), FCA 1964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Maintenance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17A, FCA 1964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7(2), FCA 1964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2, DMMA 1939 (non-maintenance as fault ground)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Child Custody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7(2), FCA 1964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25, FCA 1964 (Guardians and Wards Act, 1890)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Execution / Iddat / Certificate of Effectiveness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21, FCA 1964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7 &amp; 8, MFLO 1961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Appeal on Ancillary Matters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14, FCA 1964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155, Limitation Act, 1908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