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wrxs3ht0h2l0" w:id="0"/>
      <w:bookmarkEnd w:id="0"/>
      <w:r w:rsidDel="00000000" w:rsidR="00000000" w:rsidRPr="00000000">
        <w:rPr>
          <w:rtl w:val="0"/>
        </w:rPr>
        <w:t xml:space="preserve"> APPLICABLE LAWS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Dower — Muslim Family Laws Ordinance 1961 s.10 (payable on demand); West Pakistan Muslim Personal Law (Shariat) Application Act 1962 s.2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Dower — Muslim Personal Law (dower principles); MFLO 1961 s.10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Dissolution (court decree) — Dissolution of Muslim Marriages Act 1939 s.5 (dower right preserved)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Khula — Muslim Personal Law principles; decided per facts/decree terms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Defence — Payment — general Muslim Personal Law/evidentiary burden; FCA 1964 s.17 (evidence)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Defence — Waiver — Muslim Personal Law (valid waiver/remission)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Dower Not Due — Muslim Personal Law (event not occurred = premature)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— FCA 1964 s.13; CPC 1908 Order XXI (guiding)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— FCA 1964 s.14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