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hsn9av2x3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APPLICABLE LAWS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Identification of Legal Heirs / Death Certificate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West Pakistan Muslim Personal Law (Shariat) Application Act, 1962 — governs Muslim heirs, with shares fixed under Quranic principles (Surah An-Nisa, verses 11–12)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Succession Act, 1925 — governs Christian and Parsi heirs, with roughly equal shares among children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Sindh Hindu Marriage Act framework and related succession rules — governs Hindu heirs in Sindh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Succession Certificate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Sections 370–390, Succession Act, 1925 — governs movable property such as bank accounts, shares, and provident funds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Letters of Administration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278, Succession Act, 1925 — applies where there is no will, for managing and distributing the estate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Probate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276, Succession Act, 1925 — applies where there is a valid will and an executor requires authority to carry it out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NADRA Route for Uncontested Cases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Letters of Administration and Certificate of Succession Act, 2020 — allows uncontested cases to be obtained directly through NADRA without going to court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Objections/Caveat by Heirs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Provisions of the Succession Act, 1925 governing public notice and objections (as applied to the application), converting the matter into a contested proceeding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Partition Suit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Limitation Act, 1908 — such suits generally to be filed within 12 years of the cause of action (i.e., when the share was first denied or the heir excluded)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Execution/Mutation of Property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 Revenue Act, 1967 — governs mutation (intiqal) of immovable property in the jamabandi (revenue record)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Succession Act, 1925 (Sections 370–390) — governs presentation of the succession certificate to banks/share registrars for movable assets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Denial of Women's Inheritance Rights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of Women's Property Rights Act, 2019 (Sindh) — creates a dedicated grievance mechanism specifically for women denied their inheritance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Civil Procedure Code, 1908 — governs appeal as with ordinary civil decrees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