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64xkhggti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APPLICABLE LAWS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5, Dissolution of Muslim Marriages Act (DMMA), 1939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the principal substantive provision conferring on the wife an unqualified right to recover dowry articles.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right exists independently of the outcome or ground of dissolution — it is not diminished by a finding of "fault" against either party.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7(2), West Pakistan Family Courts Act (FCA), 1964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the procedural mechanism permitting joinder of the dowry claim with claims for dissolution, dower, maintenance, and custody in a single plaint.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Avoids multiplicity of proceedings and allows comprehensive adjudication in one suit.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Dowry and Bridal Gifts (Restriction) Act, 1976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Serves as the substantive framework defining what constitutes dowry and bridal gifts.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Relevant to establishing ownership and the character of the articles claimed.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5, FCA 1964 read with Part I of the Schedule, Items 8–10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Establishes the exclusive subject-matter jurisdiction of the Family Court over dowry and related personal property disputes, expressly excluding ordinary civil courts.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