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bookmarkStart w:colFirst="0" w:colLast="0" w:name="_heading=h.ttrm6i3bdrk" w:id="0"/>
      <w:bookmarkEnd w:id="0"/>
      <w:r w:rsidDel="00000000" w:rsidR="00000000" w:rsidRPr="00000000">
        <w:rPr>
          <w:rtl w:val="0"/>
        </w:rPr>
        <w:t xml:space="preserve">Applicable Laws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34"/>
          <w:szCs w:val="34"/>
        </w:rPr>
      </w:pPr>
      <w:bookmarkStart w:colFirst="0" w:colLast="0" w:name="_heading=h.3bl33xp0cxym" w:id="1"/>
      <w:bookmarkEnd w:id="1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1. Standard Compliance Scenario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Governing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Section 7(1) &amp; 7(3), Muslim Family Laws Ordinance (MFLO), 1961</w:t>
      </w:r>
      <w:r w:rsidDel="00000000" w:rsidR="00000000" w:rsidRPr="00000000">
        <w:rPr>
          <w:color w:val="ffffff"/>
          <w:rtl w:val="0"/>
        </w:rPr>
        <w:t xml:space="preserve"> (Governs valid notice, mandatory 90-day waiting period, and finality of divorce).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Procedural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Rule 3 &amp; 3A, Muslim Family Laws Rules, 1961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i w:val="1"/>
          <w:iCs w:val="1"/>
          <w:color w:val="ffffff"/>
          <w:rtl w:val="0"/>
        </w:rPr>
        <w:t xml:space="preserve">(or provincial rules such as the </w:t>
      </w:r>
      <w:r w:rsidDel="00000000" w:rsidR="00000000" w:rsidRPr="00000000">
        <w:rPr>
          <w:b w:val="1"/>
          <w:bCs w:val="1"/>
          <w:i w:val="1"/>
          <w:iCs w:val="1"/>
          <w:color w:val="ffffff"/>
          <w:rtl w:val="0"/>
        </w:rPr>
        <w:t xml:space="preserve">Punjab Muslim Family Laws Rules, 1961</w:t>
      </w:r>
      <w:r w:rsidDel="00000000" w:rsidR="00000000" w:rsidRPr="00000000">
        <w:rPr>
          <w:i w:val="1"/>
          <w:iCs w:val="1"/>
          <w:color w:val="ffffff"/>
          <w:rtl w:val="0"/>
        </w:rPr>
        <w:t xml:space="preserve">)</w:t>
      </w:r>
      <w:r w:rsidDel="00000000" w:rsidR="00000000" w:rsidRPr="00000000">
        <w:rPr>
          <w:color w:val="ffffff"/>
          <w:rtl w:val="0"/>
        </w:rPr>
        <w:t xml:space="preserve"> (Specifies Union Council territorial jurisdiction where the wife ordinarily resides).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Administrative Procedure of Local Government / Union Council</w:t>
      </w:r>
      <w:r w:rsidDel="00000000" w:rsidR="00000000" w:rsidRPr="00000000">
        <w:rPr>
          <w:color w:val="ffffff"/>
          <w:rtl w:val="0"/>
        </w:rPr>
        <w:t xml:space="preserve"> (Mechanics of issuing the Certificate of Effectiveness upon expiry of 90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34"/>
          <w:szCs w:val="34"/>
        </w:rPr>
      </w:pPr>
      <w:bookmarkStart w:colFirst="0" w:colLast="0" w:name="_heading=h.2m2b8dv9ffg0" w:id="2"/>
      <w:bookmarkEnd w:id="2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2. Reconciliation Scenarios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Governing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Section 7(3) &amp; 7(4), MFLO, 1961</w:t>
      </w:r>
      <w:r w:rsidDel="00000000" w:rsidR="00000000" w:rsidRPr="00000000">
        <w:rPr>
          <w:color w:val="ffffff"/>
          <w:rtl w:val="0"/>
        </w:rPr>
        <w:t xml:space="preserve"> (Right to revoke Talaq before 90 days; mandatory mandate for reconciliation efforts).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Procedural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Rule 5 &amp; 6, Muslim Family Laws Rules, 1961</w:t>
      </w:r>
      <w:r w:rsidDel="00000000" w:rsidR="00000000" w:rsidRPr="00000000">
        <w:rPr>
          <w:color w:val="ffffff"/>
          <w:rtl w:val="0"/>
        </w:rPr>
        <w:t xml:space="preserve"> (Procedure for Chairman to issue notices to parties to nominate representatives for the Arbitration Council).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Section 10 &amp; 12, Family Courts Act (FCA), 1964</w:t>
      </w:r>
      <w:r w:rsidDel="00000000" w:rsidR="00000000" w:rsidRPr="00000000">
        <w:rPr>
          <w:color w:val="ffffff"/>
          <w:rtl w:val="0"/>
        </w:rPr>
        <w:t xml:space="preserve"> (Mandates pre-trial and post-trial judicial reconciliation attempts if brought before court).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34"/>
          <w:szCs w:val="34"/>
        </w:rPr>
      </w:pPr>
      <w:bookmarkStart w:colFirst="0" w:colLast="0" w:name="_heading=h.vewz30hreyjl" w:id="3"/>
      <w:bookmarkEnd w:id="3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3. Procedural Non-Compliance Scenarios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Governing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Section 7(1) &amp; 7(2), MFLO, 1961</w:t>
      </w:r>
      <w:r w:rsidDel="00000000" w:rsidR="00000000" w:rsidRPr="00000000">
        <w:rPr>
          <w:color w:val="ffffff"/>
          <w:rtl w:val="0"/>
        </w:rPr>
        <w:t xml:space="preserve"> (Substantive obligation to give notice and statutory criminal offense for failure).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Procedural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Code of Criminal Procedure (CrPC), 1898</w:t>
      </w:r>
      <w:r w:rsidDel="00000000" w:rsidR="00000000" w:rsidRPr="00000000">
        <w:rPr>
          <w:color w:val="ffffff"/>
          <w:rtl w:val="0"/>
        </w:rPr>
        <w:t xml:space="preserve"> (Regulates criminal prosecution, complaint, and trial for offenses under Section 7(2) of MFLO).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Article 199, Constitution of Pakistan, 1973</w:t>
      </w:r>
      <w:r w:rsidDel="00000000" w:rsidR="00000000" w:rsidRPr="00000000">
        <w:rPr>
          <w:color w:val="ffffff"/>
          <w:rtl w:val="0"/>
        </w:rPr>
        <w:t xml:space="preserve"> (Writ Jurisdiction before High Court to challenge or seek directions regarding Union Council certificates).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34"/>
          <w:szCs w:val="34"/>
        </w:rPr>
      </w:pPr>
      <w:bookmarkStart w:colFirst="0" w:colLast="0" w:name="_heading=h.v1wm40kqbg05" w:id="4"/>
      <w:bookmarkEnd w:id="4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4. Pregnancy &amp; Special Time-Frame Scenarios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Governing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Section 7(5), MFLO, 1961</w:t>
      </w:r>
      <w:r w:rsidDel="00000000" w:rsidR="00000000" w:rsidRPr="00000000">
        <w:rPr>
          <w:color w:val="ffffff"/>
          <w:rtl w:val="0"/>
        </w:rPr>
        <w:t xml:space="preserve"> (Overrides the standard 90-day period until delivery or termination of pregnancy).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Injunctions of Islam / Classical Islamic Jurisprudence</w:t>
      </w:r>
      <w:r w:rsidDel="00000000" w:rsidR="00000000" w:rsidRPr="00000000">
        <w:rPr>
          <w:color w:val="ffffff"/>
          <w:rtl w:val="0"/>
        </w:rPr>
        <w:t xml:space="preserve"> (Governing the statutory computation of the </w:t>
      </w:r>
      <w:r w:rsidDel="00000000" w:rsidR="00000000" w:rsidRPr="00000000">
        <w:rPr>
          <w:i w:val="1"/>
          <w:iCs w:val="1"/>
          <w:color w:val="ffffff"/>
          <w:rtl w:val="0"/>
        </w:rPr>
        <w:t xml:space="preserve">Iddat</w:t>
      </w:r>
      <w:r w:rsidDel="00000000" w:rsidR="00000000" w:rsidRPr="00000000">
        <w:rPr>
          <w:color w:val="ffffff"/>
          <w:rtl w:val="0"/>
        </w:rPr>
        <w:t xml:space="preserve"> period during pregnancy).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Procedural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Rule 3, Muslim Family Laws Rules, 1961</w:t>
      </w:r>
      <w:r w:rsidDel="00000000" w:rsidR="00000000" w:rsidRPr="00000000">
        <w:rPr>
          <w:color w:val="ffffff"/>
          <w:rtl w:val="0"/>
        </w:rPr>
        <w:t xml:space="preserve"> (Submission of medical/factual proof of pregnancy to the Chairman, Union Council to toll the issuance of the effectiveness certificate).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34"/>
          <w:szCs w:val="34"/>
        </w:rPr>
      </w:pPr>
      <w:bookmarkStart w:colFirst="0" w:colLast="0" w:name="_heading=h.hda72gctpboe" w:id="5"/>
      <w:bookmarkEnd w:id="5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5. Delegated &amp; Alternative Dissolution Scenarios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heading=h.fq41iqhq9366" w:id="6"/>
      <w:bookmarkEnd w:id="6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(A) Delegated Divorce (Talaq-e-Tafweez)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Governing Law: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Section 8 read with Section 7, MFLO, 1961</w:t>
      </w:r>
      <w:r w:rsidDel="00000000" w:rsidR="00000000" w:rsidRPr="00000000">
        <w:rPr>
          <w:color w:val="fffff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Column 18 of Nikahnama</w:t>
      </w:r>
      <w:r w:rsidDel="00000000" w:rsidR="00000000" w:rsidRPr="00000000">
        <w:rPr>
          <w:color w:val="ffffff"/>
          <w:rtl w:val="0"/>
        </w:rPr>
        <w:t xml:space="preserve"> (Substantive delegated right).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Procedural Law: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Same Union Council Notice &amp; Arbitration Procedure under Section 7, MFLO, 1961</w:t>
      </w:r>
      <w:r w:rsidDel="00000000" w:rsidR="00000000" w:rsidRPr="00000000">
        <w:rPr>
          <w:color w:val="fffff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heading=h.towqzfvgm926" w:id="7"/>
      <w:bookmarkEnd w:id="7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(B) Judicial Khula / Court Dissolution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Governing Law: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Dissolution of Muslim Marriages Act (DMMA), 1939</w:t>
      </w:r>
      <w:r w:rsidDel="00000000" w:rsidR="00000000" w:rsidRPr="00000000">
        <w:rPr>
          <w:color w:val="ffffff"/>
          <w:rtl w:val="0"/>
        </w:rPr>
        <w:t xml:space="preserve"> (Grounds for judicial dissolution) &amp;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Section 10(4), FCA, 1964</w:t>
      </w:r>
      <w:r w:rsidDel="00000000" w:rsidR="00000000" w:rsidRPr="00000000">
        <w:rPr>
          <w:color w:val="ffffff"/>
          <w:rtl w:val="0"/>
        </w:rPr>
        <w:t xml:space="preserve"> (Statutory right to Khula upon failure of reconciliation).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Procedural Law: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Sections 7, 10, &amp; 11, Family Courts Act, 1964</w:t>
      </w:r>
      <w:r w:rsidDel="00000000" w:rsidR="00000000" w:rsidRPr="00000000">
        <w:rPr>
          <w:color w:val="ffffff"/>
          <w:rtl w:val="0"/>
        </w:rPr>
        <w:t xml:space="preserve"> (Institution of suit by presentation of plaint, compulsory pre-trial reconciliation, and instant decree on Khula upon restoration of benefits/dower).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34"/>
          <w:szCs w:val="34"/>
        </w:rPr>
      </w:pPr>
      <w:bookmarkStart w:colFirst="0" w:colLast="0" w:name="_heading=h.3p4ac0tfkcjw" w:id="8"/>
      <w:bookmarkEnd w:id="8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6. Financial &amp; Post-Divorce Dispute Scenarios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heading=h.rwji8i4cc1h4" w:id="9"/>
      <w:bookmarkEnd w:id="9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(A) Dower (</w:t>
      </w:r>
      <w:r w:rsidDel="00000000" w:rsidR="00000000" w:rsidRPr="00000000">
        <w:rPr>
          <w:b w:val="1"/>
          <w:bCs w:val="1"/>
          <w:i w:val="1"/>
          <w:iCs w:val="1"/>
          <w:color w:val="ffffff"/>
          <w:sz w:val="26"/>
          <w:szCs w:val="26"/>
          <w:rtl w:val="0"/>
        </w:rPr>
        <w:t xml:space="preserve">Haq Mehr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Governing Law: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Section 10, MFLO, 1961</w:t>
      </w:r>
      <w:r w:rsidDel="00000000" w:rsidR="00000000" w:rsidRPr="00000000">
        <w:rPr>
          <w:color w:val="ffffff"/>
          <w:rtl w:val="0"/>
        </w:rPr>
        <w:t xml:space="preserve"> (Presumption of prompt dower if unspecified) &amp;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Contract Act, 1872</w:t>
      </w:r>
      <w:r w:rsidDel="00000000" w:rsidR="00000000" w:rsidRPr="00000000">
        <w:rPr>
          <w:color w:val="ffffff"/>
          <w:rtl w:val="0"/>
        </w:rPr>
        <w:t xml:space="preserve"> (General contractual obligations under Nikahnama).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Procedural Law: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Section 5 &amp; Schedule, Item 2, Family Courts Act, 1964</w:t>
      </w:r>
      <w:r w:rsidDel="00000000" w:rsidR="00000000" w:rsidRPr="00000000">
        <w:rPr>
          <w:color w:val="ffffff"/>
          <w:rtl w:val="0"/>
        </w:rPr>
        <w:t xml:space="preserve"> (Exclusive jurisdiction of Family Court for recovery of Dower).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heading=h.eqxd34edqre1" w:id="10"/>
      <w:bookmarkEnd w:id="10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(B) Past &amp; </w:t>
      </w:r>
      <w:r w:rsidDel="00000000" w:rsidR="00000000" w:rsidRPr="00000000">
        <w:rPr>
          <w:b w:val="1"/>
          <w:bCs w:val="1"/>
          <w:i w:val="1"/>
          <w:iCs w:val="1"/>
          <w:color w:val="ffffff"/>
          <w:sz w:val="26"/>
          <w:szCs w:val="26"/>
          <w:rtl w:val="0"/>
        </w:rPr>
        <w:t xml:space="preserve">Iddat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Maintenance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Governing Law: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Section 9, MFLO, 1961</w:t>
      </w:r>
      <w:r w:rsidDel="00000000" w:rsidR="00000000" w:rsidRPr="00000000">
        <w:rPr>
          <w:color w:val="ffffff"/>
          <w:rtl w:val="0"/>
        </w:rPr>
        <w:t xml:space="preserve"> (Right to claim maintenance before Chairman) &amp;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Section 5, FCA, 1964</w:t>
      </w:r>
      <w:r w:rsidDel="00000000" w:rsidR="00000000" w:rsidRPr="00000000">
        <w:rPr>
          <w:color w:val="ffffff"/>
          <w:rtl w:val="0"/>
        </w:rPr>
        <w:t xml:space="preserve"> (Judicial claim for past and Iddat maintenance).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Procedural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Section 9, MFLO read with Rules 5–10, Muslim Family Laws Rules, 1961</w:t>
      </w:r>
      <w:r w:rsidDel="00000000" w:rsidR="00000000" w:rsidRPr="00000000">
        <w:rPr>
          <w:color w:val="ffffff"/>
          <w:rtl w:val="0"/>
        </w:rPr>
        <w:t xml:space="preserve"> (Administrative maintenance application before Chairman).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Section 7 &amp; 17A, Family Courts Act, 1964</w:t>
      </w:r>
      <w:r w:rsidDel="00000000" w:rsidR="00000000" w:rsidRPr="00000000">
        <w:rPr>
          <w:color w:val="ffffff"/>
          <w:rtl w:val="0"/>
        </w:rPr>
        <w:t xml:space="preserve"> (Court procedure and mandatory interim maintenance orders during suit pendency).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Section 13 &amp; 14, FCA, 1964</w:t>
      </w:r>
      <w:r w:rsidDel="00000000" w:rsidR="00000000" w:rsidRPr="00000000">
        <w:rPr>
          <w:color w:val="ffffff"/>
          <w:rtl w:val="0"/>
        </w:rPr>
        <w:t xml:space="preserve"> (Execution of decrees as land revenue arrears or civil court decrees).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heading=h.urclfzvz1ibc" w:id="11"/>
      <w:bookmarkEnd w:id="11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(C) Child Custody &amp; Guardianship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Governing Law: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Guardians and Wards Act (GWA), 1890</w:t>
      </w:r>
      <w:r w:rsidDel="00000000" w:rsidR="00000000" w:rsidRPr="00000000">
        <w:rPr>
          <w:color w:val="ffffff"/>
          <w:rtl w:val="0"/>
        </w:rPr>
        <w:t xml:space="preserve"> (Principles of welfare of the minor).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Procedural Law: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Section 5 &amp; Schedule, Item 5, Family Courts Act, 1964</w:t>
      </w:r>
      <w:r w:rsidDel="00000000" w:rsidR="00000000" w:rsidRPr="00000000">
        <w:rPr>
          <w:color w:val="ffffff"/>
          <w:rtl w:val="0"/>
        </w:rPr>
        <w:t xml:space="preserve"> (Family Court sits as Guardian Court exercising procedural powers under GWA, 1890).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Url6mGsPPUEsF4ZUZdetIG4EbA==">CgMxLjAyDWgudHRybTZpM2JkcmsyDmguM2JsMzN4cDBjeHltMg5oLjJtMmI4ZHY5ZmZnMDIOaC52ZXd6MzBocmV5amwyDmgudjF3bTQwa3FiZzA1Mg5oLmhkYTcyZ2N0cGJvZTIOaC5mcTQxaXFocTkzNjYyDmgudG93cXpmdmdtOTI2Mg5oLjNwNGFjMHRma2NqdzIOaC5yd2ppOGk0Y2MxaDQyDmguZXF4ZDM0ZWRxcmUxMg5oLnVyY2xmenZ6MWliYzgAciExM0RxbFIxT01ORDdIM3ZhU2x4N25UQnc1YWhYZjA0c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