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u w:val="single"/>
        </w:rPr>
      </w:pPr>
      <w:bookmarkStart w:colFirst="0" w:colLast="0" w:name="_8wk30gl6k4ln" w:id="0"/>
      <w:bookmarkEnd w:id="0"/>
      <w:r w:rsidDel="00000000" w:rsidR="00000000" w:rsidRPr="00000000">
        <w:rPr>
          <w:u w:val="single"/>
          <w:rtl w:val="0"/>
        </w:rPr>
        <w:t xml:space="preserve">CIVIL PROCEDURE</w:t>
      </w:r>
    </w:p>
    <w:p w:rsidR="00000000" w:rsidDel="00000000" w:rsidP="00000000" w:rsidRDefault="00000000" w:rsidRPr="00000000" w14:paraId="00000002">
      <w:pPr>
        <w:pStyle w:val="Subtitle"/>
        <w:rPr/>
      </w:pPr>
      <w:bookmarkStart w:colFirst="0" w:colLast="0" w:name="_aq2btct85pzn" w:id="1"/>
      <w:bookmarkEnd w:id="1"/>
      <w:r w:rsidDel="00000000" w:rsidR="00000000" w:rsidRPr="00000000">
        <w:rPr>
          <w:rtl w:val="0"/>
        </w:rPr>
        <w:t xml:space="preserve">GUARDIANSHIP PROCEEDINGS BEFORE THE FAMILY COURT IN PAKISTA</w:t>
      </w:r>
    </w:p>
    <w:p w:rsidR="00000000" w:rsidDel="00000000" w:rsidP="00000000" w:rsidRDefault="00000000" w:rsidRPr="00000000" w14:paraId="00000003">
      <w:pPr>
        <w:pStyle w:val="Heading1"/>
        <w:rPr/>
      </w:pPr>
      <w:bookmarkStart w:colFirst="0" w:colLast="0" w:name="_fzchc4dmzjwx" w:id="2"/>
      <w:bookmarkEnd w:id="2"/>
      <w:r w:rsidDel="00000000" w:rsidR="00000000" w:rsidRPr="00000000">
        <w:rPr>
          <w:rtl w:val="0"/>
        </w:rPr>
        <w:t xml:space="preserve">                         TABLE OF CONTENTS</w:t>
      </w:r>
    </w:p>
    <w:p w:rsidR="00000000" w:rsidDel="00000000" w:rsidP="00000000" w:rsidRDefault="00000000" w:rsidRPr="00000000" w14:paraId="00000004">
      <w:pPr>
        <w:pStyle w:val="Heading2"/>
        <w:rPr/>
      </w:pPr>
      <w:bookmarkStart w:colFirst="0" w:colLast="0" w:name="_4921napqb6ne" w:id="3"/>
      <w:bookmarkEnd w:id="3"/>
      <w:r w:rsidDel="00000000" w:rsidR="00000000" w:rsidRPr="00000000">
        <w:rPr>
          <w:rtl w:val="0"/>
        </w:rPr>
        <w:t xml:space="preserve">1. PRE-SUIT STAGE</w:t>
      </w:r>
    </w:p>
    <w:p w:rsidR="00000000" w:rsidDel="00000000" w:rsidP="00000000" w:rsidRDefault="00000000" w:rsidRPr="00000000" w14:paraId="00000005">
      <w:pPr>
        <w:pStyle w:val="Heading3"/>
        <w:rPr/>
      </w:pPr>
      <w:bookmarkStart w:colFirst="0" w:colLast="0" w:name="_ujfpagzhpcnu" w:id="4"/>
      <w:bookmarkEnd w:id="4"/>
      <w:r w:rsidDel="00000000" w:rsidR="00000000" w:rsidRPr="00000000">
        <w:rPr>
          <w:rtl w:val="0"/>
        </w:rPr>
        <w:t xml:space="preserve">   1.1 Legal Notice</w:t>
      </w:r>
    </w:p>
    <w:p w:rsidR="00000000" w:rsidDel="00000000" w:rsidP="00000000" w:rsidRDefault="00000000" w:rsidRPr="00000000" w14:paraId="00000006">
      <w:pPr>
        <w:pStyle w:val="Heading3"/>
        <w:rPr/>
      </w:pPr>
      <w:bookmarkStart w:colFirst="0" w:colLast="0" w:name="_yf3b3x34mjpl" w:id="5"/>
      <w:bookmarkEnd w:id="5"/>
      <w:r w:rsidDel="00000000" w:rsidR="00000000" w:rsidRPr="00000000">
        <w:rPr>
          <w:rtl w:val="0"/>
        </w:rPr>
        <w:t xml:space="preserve">   1.2 Limitation Period</w:t>
      </w:r>
    </w:p>
    <w:p w:rsidR="00000000" w:rsidDel="00000000" w:rsidP="00000000" w:rsidRDefault="00000000" w:rsidRPr="00000000" w14:paraId="00000007">
      <w:pPr>
        <w:pStyle w:val="Heading3"/>
        <w:rPr/>
      </w:pPr>
      <w:bookmarkStart w:colFirst="0" w:colLast="0" w:name="_y6l1h4nz65d7" w:id="6"/>
      <w:bookmarkEnd w:id="6"/>
      <w:r w:rsidDel="00000000" w:rsidR="00000000" w:rsidRPr="00000000">
        <w:rPr>
          <w:rtl w:val="0"/>
        </w:rPr>
      </w:r>
    </w:p>
    <w:p w:rsidR="00000000" w:rsidDel="00000000" w:rsidP="00000000" w:rsidRDefault="00000000" w:rsidRPr="00000000" w14:paraId="00000008">
      <w:pPr>
        <w:pStyle w:val="Heading2"/>
        <w:rPr/>
      </w:pPr>
      <w:bookmarkStart w:colFirst="0" w:colLast="0" w:name="_w7fujztr5ddz" w:id="7"/>
      <w:bookmarkEnd w:id="7"/>
      <w:r w:rsidDel="00000000" w:rsidR="00000000" w:rsidRPr="00000000">
        <w:rPr>
          <w:rtl w:val="0"/>
        </w:rPr>
        <w:t xml:space="preserve">2. PRE-TRIAL STAGE</w:t>
      </w:r>
    </w:p>
    <w:p w:rsidR="00000000" w:rsidDel="00000000" w:rsidP="00000000" w:rsidRDefault="00000000" w:rsidRPr="00000000" w14:paraId="00000009">
      <w:pPr>
        <w:pStyle w:val="Heading3"/>
        <w:rPr/>
      </w:pPr>
      <w:bookmarkStart w:colFirst="0" w:colLast="0" w:name="_7zsy85gm7ye9" w:id="8"/>
      <w:bookmarkEnd w:id="8"/>
      <w:r w:rsidDel="00000000" w:rsidR="00000000" w:rsidRPr="00000000">
        <w:rPr>
          <w:rtl w:val="0"/>
        </w:rPr>
        <w:t xml:space="preserve">   2.1 Plaint [Guardianship Petition]</w:t>
      </w:r>
    </w:p>
    <w:p w:rsidR="00000000" w:rsidDel="00000000" w:rsidP="00000000" w:rsidRDefault="00000000" w:rsidRPr="00000000" w14:paraId="0000000A">
      <w:pPr>
        <w:pStyle w:val="Heading3"/>
        <w:rPr/>
      </w:pPr>
      <w:bookmarkStart w:colFirst="0" w:colLast="0" w:name="_lso4rkvdz7wc" w:id="9"/>
      <w:bookmarkEnd w:id="9"/>
      <w:r w:rsidDel="00000000" w:rsidR="00000000" w:rsidRPr="00000000">
        <w:rPr>
          <w:rtl w:val="0"/>
        </w:rPr>
        <w:t xml:space="preserve">   2.2 Written Statement</w:t>
      </w:r>
    </w:p>
    <w:p w:rsidR="00000000" w:rsidDel="00000000" w:rsidP="00000000" w:rsidRDefault="00000000" w:rsidRPr="00000000" w14:paraId="0000000B">
      <w:pPr>
        <w:pStyle w:val="Heading3"/>
        <w:rPr/>
      </w:pPr>
      <w:bookmarkStart w:colFirst="0" w:colLast="0" w:name="_9hjb5ea7lntn" w:id="10"/>
      <w:bookmarkEnd w:id="10"/>
      <w:r w:rsidDel="00000000" w:rsidR="00000000" w:rsidRPr="00000000">
        <w:rPr>
          <w:rtl w:val="0"/>
        </w:rPr>
        <w:t xml:space="preserve">   2.3 Settlement Efforts</w:t>
      </w:r>
    </w:p>
    <w:p w:rsidR="00000000" w:rsidDel="00000000" w:rsidP="00000000" w:rsidRDefault="00000000" w:rsidRPr="00000000" w14:paraId="0000000C">
      <w:pPr>
        <w:pStyle w:val="Heading3"/>
        <w:rPr/>
      </w:pPr>
      <w:bookmarkStart w:colFirst="0" w:colLast="0" w:name="_pkrmjm7aumvj" w:id="11"/>
      <w:bookmarkEnd w:id="11"/>
      <w:r w:rsidDel="00000000" w:rsidR="00000000" w:rsidRPr="00000000">
        <w:rPr>
          <w:rtl w:val="0"/>
        </w:rPr>
        <w:t xml:space="preserve">   2.4 Framing of Issues </w:t>
      </w:r>
    </w:p>
    <w:p w:rsidR="00000000" w:rsidDel="00000000" w:rsidP="00000000" w:rsidRDefault="00000000" w:rsidRPr="00000000" w14:paraId="0000000D">
      <w:pPr>
        <w:pStyle w:val="Heading2"/>
        <w:rPr/>
      </w:pPr>
      <w:bookmarkStart w:colFirst="0" w:colLast="0" w:name="_5riimslr91vf" w:id="12"/>
      <w:bookmarkEnd w:id="12"/>
      <w:r w:rsidDel="00000000" w:rsidR="00000000" w:rsidRPr="00000000">
        <w:rPr>
          <w:rtl w:val="0"/>
        </w:rPr>
        <w:t xml:space="preserve">3. TRIAL</w:t>
      </w:r>
    </w:p>
    <w:p w:rsidR="00000000" w:rsidDel="00000000" w:rsidP="00000000" w:rsidRDefault="00000000" w:rsidRPr="00000000" w14:paraId="0000000E">
      <w:pPr>
        <w:pStyle w:val="Heading3"/>
        <w:rPr/>
      </w:pPr>
      <w:bookmarkStart w:colFirst="0" w:colLast="0" w:name="_t1mc3l5mq2ie" w:id="13"/>
      <w:bookmarkEnd w:id="13"/>
      <w:r w:rsidDel="00000000" w:rsidR="00000000" w:rsidRPr="00000000">
        <w:rPr>
          <w:rtl w:val="0"/>
        </w:rPr>
        <w:t xml:space="preserve">   3.1 Presentation of Evidence</w:t>
      </w:r>
    </w:p>
    <w:p w:rsidR="00000000" w:rsidDel="00000000" w:rsidP="00000000" w:rsidRDefault="00000000" w:rsidRPr="00000000" w14:paraId="0000000F">
      <w:pPr>
        <w:pStyle w:val="Heading4"/>
        <w:rPr/>
      </w:pPr>
      <w:bookmarkStart w:colFirst="0" w:colLast="0" w:name="_8qcasy5c8fzi" w:id="14"/>
      <w:bookmarkEnd w:id="14"/>
      <w:r w:rsidDel="00000000" w:rsidR="00000000" w:rsidRPr="00000000">
        <w:rPr>
          <w:rtl w:val="0"/>
        </w:rPr>
        <w:t xml:space="preserve">       3.1.1 Petitioner’s Evidence and Cross-Examination</w:t>
      </w:r>
    </w:p>
    <w:p w:rsidR="00000000" w:rsidDel="00000000" w:rsidP="00000000" w:rsidRDefault="00000000" w:rsidRPr="00000000" w14:paraId="00000010">
      <w:pPr>
        <w:pStyle w:val="Heading4"/>
        <w:rPr/>
      </w:pPr>
      <w:bookmarkStart w:colFirst="0" w:colLast="0" w:name="_u3tlisvu0sig" w:id="15"/>
      <w:bookmarkEnd w:id="15"/>
      <w:r w:rsidDel="00000000" w:rsidR="00000000" w:rsidRPr="00000000">
        <w:rPr>
          <w:rtl w:val="0"/>
        </w:rPr>
        <w:t xml:space="preserve">       3.1.2 Respondent’s Evidence and Cross-Examination</w:t>
      </w:r>
    </w:p>
    <w:p w:rsidR="00000000" w:rsidDel="00000000" w:rsidP="00000000" w:rsidRDefault="00000000" w:rsidRPr="00000000" w14:paraId="00000011">
      <w:pPr>
        <w:pStyle w:val="Heading3"/>
        <w:rPr/>
      </w:pPr>
      <w:bookmarkStart w:colFirst="0" w:colLast="0" w:name="_z2gyfutqqrir" w:id="16"/>
      <w:bookmarkEnd w:id="16"/>
      <w:r w:rsidDel="00000000" w:rsidR="00000000" w:rsidRPr="00000000">
        <w:rPr>
          <w:rtl w:val="0"/>
        </w:rPr>
        <w:t xml:space="preserve">   3.2 Final Arguments</w:t>
      </w:r>
    </w:p>
    <w:p w:rsidR="00000000" w:rsidDel="00000000" w:rsidP="00000000" w:rsidRDefault="00000000" w:rsidRPr="00000000" w14:paraId="00000012">
      <w:pPr>
        <w:pStyle w:val="Heading3"/>
        <w:rPr/>
      </w:pPr>
      <w:bookmarkStart w:colFirst="0" w:colLast="0" w:name="_x57cd12v4y6d" w:id="17"/>
      <w:bookmarkEnd w:id="17"/>
      <w:r w:rsidDel="00000000" w:rsidR="00000000" w:rsidRPr="00000000">
        <w:rPr>
          <w:rtl w:val="0"/>
        </w:rPr>
        <w:t xml:space="preserve">   3.3 Judgment and Decree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j6ii2vlhewm9" w:id="18"/>
      <w:bookmarkEnd w:id="18"/>
      <w:r w:rsidDel="00000000" w:rsidR="00000000" w:rsidRPr="00000000">
        <w:rPr>
          <w:rtl w:val="0"/>
        </w:rPr>
        <w:t xml:space="preserve">4. POST-TRIAL</w:t>
      </w:r>
    </w:p>
    <w:p w:rsidR="00000000" w:rsidDel="00000000" w:rsidP="00000000" w:rsidRDefault="00000000" w:rsidRPr="00000000" w14:paraId="00000015">
      <w:pPr>
        <w:pStyle w:val="Heading3"/>
        <w:rPr/>
      </w:pPr>
      <w:bookmarkStart w:colFirst="0" w:colLast="0" w:name="_ih2yupo204qf" w:id="19"/>
      <w:bookmarkEnd w:id="19"/>
      <w:r w:rsidDel="00000000" w:rsidR="00000000" w:rsidRPr="00000000">
        <w:rPr>
          <w:rtl w:val="0"/>
        </w:rPr>
        <w:t xml:space="preserve">   4.1 Execution</w:t>
      </w:r>
    </w:p>
    <w:p w:rsidR="00000000" w:rsidDel="00000000" w:rsidP="00000000" w:rsidRDefault="00000000" w:rsidRPr="00000000" w14:paraId="00000016">
      <w:pPr>
        <w:pStyle w:val="Heading3"/>
        <w:rPr/>
      </w:pPr>
      <w:bookmarkStart w:colFirst="0" w:colLast="0" w:name="_gohupkj58j31" w:id="20"/>
      <w:bookmarkEnd w:id="20"/>
      <w:r w:rsidDel="00000000" w:rsidR="00000000" w:rsidRPr="00000000">
        <w:rPr>
          <w:rtl w:val="0"/>
        </w:rPr>
        <w:t xml:space="preserve">   4.2 Appeal</w:t>
      </w:r>
    </w:p>
    <w:p w:rsidR="00000000" w:rsidDel="00000000" w:rsidP="00000000" w:rsidRDefault="00000000" w:rsidRPr="00000000" w14:paraId="00000017">
      <w:pPr>
        <w:pStyle w:val="Heading2"/>
        <w:rPr/>
      </w:pPr>
      <w:bookmarkStart w:colFirst="0" w:colLast="0" w:name="_1dobsdr44r5s" w:id="21"/>
      <w:bookmarkEnd w:id="21"/>
      <w:r w:rsidDel="00000000" w:rsidR="00000000" w:rsidRPr="00000000">
        <w:rPr>
          <w:rtl w:val="0"/>
        </w:rPr>
        <w:t xml:space="preserve">GOVERNING LEGISLATION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4"/>
        <w:rPr/>
      </w:pPr>
      <w:bookmarkStart w:colFirst="0" w:colLast="0" w:name="_hwruaccqq2zc" w:id="22"/>
      <w:bookmarkEnd w:id="22"/>
      <w:r w:rsidDel="00000000" w:rsidR="00000000" w:rsidRPr="00000000">
        <w:rPr>
          <w:rtl w:val="0"/>
        </w:rPr>
        <w:t xml:space="preserve">Family Courts Act, 1964</w:t>
      </w:r>
    </w:p>
    <w:p w:rsidR="00000000" w:rsidDel="00000000" w:rsidP="00000000" w:rsidRDefault="00000000" w:rsidRPr="00000000" w14:paraId="0000001A">
      <w:pPr>
        <w:rPr/>
      </w:pPr>
      <w:r w:rsidDel="00000000" w:rsidR="00000000" w:rsidRPr="00000000">
        <w:rPr>
          <w:rtl w:val="0"/>
        </w:rPr>
        <w:t xml:space="preserve">Section 5 [Exclusive Jurisdiction]; Section 9 [Appearance and Written Statement]; Section 10(3)-(4) [Settlement and Framing of Issues]; Section 11 ; Section 14 ; Section 25 [Family Court Deemed to be District Court for purposes of GWA][Evidence][Appeal]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4"/>
        <w:rPr/>
      </w:pPr>
      <w:bookmarkStart w:colFirst="0" w:colLast="0" w:name="_gyyvnrhz8a5h" w:id="23"/>
      <w:bookmarkEnd w:id="23"/>
      <w:r w:rsidDel="00000000" w:rsidR="00000000" w:rsidRPr="00000000">
        <w:rPr>
          <w:rtl w:val="0"/>
        </w:rPr>
        <w:t xml:space="preserve">Guardians and Wards Act, 1890</w:t>
      </w:r>
    </w:p>
    <w:p w:rsidR="00000000" w:rsidDel="00000000" w:rsidP="00000000" w:rsidRDefault="00000000" w:rsidRPr="00000000" w14:paraId="0000001D">
      <w:pPr>
        <w:rPr/>
      </w:pPr>
      <w:r w:rsidDel="00000000" w:rsidR="00000000" w:rsidRPr="00000000">
        <w:rPr>
          <w:rtl w:val="0"/>
        </w:rPr>
        <w:t xml:space="preserve">Section 7 [Power to Appoint Guardian]; Section 8 [Persons Entitled to Apply]; Section 9 ; Section 10 [Contents of Petition]; Section 11 ; Section 12 [Interim Orders]; Section 17 [Welfare Principle and Minor’s Preference]; Section 19 [Restriction where Father is Living]; Section 25 [Return of Ward]; Section 47[Jurisdiction][Notice][Appeal]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4"/>
        <w:rPr/>
      </w:pPr>
      <w:bookmarkStart w:colFirst="0" w:colLast="0" w:name="_7ev11km7e3iy" w:id="24"/>
      <w:bookmarkEnd w:id="24"/>
      <w:r w:rsidDel="00000000" w:rsidR="00000000" w:rsidRPr="00000000">
        <w:rPr>
          <w:rtl w:val="0"/>
        </w:rPr>
        <w:t xml:space="preserve">West Pakistan Muslim Personal Law (Shariat) Application Act, 1962</w:t>
      </w:r>
    </w:p>
    <w:p w:rsidR="00000000" w:rsidDel="00000000" w:rsidP="00000000" w:rsidRDefault="00000000" w:rsidRPr="00000000" w14:paraId="00000020">
      <w:pPr>
        <w:rPr/>
      </w:pPr>
      <w:r w:rsidDel="00000000" w:rsidR="00000000" w:rsidRPr="00000000">
        <w:rPr>
          <w:rtl w:val="0"/>
        </w:rPr>
        <w:t xml:space="preserve">Section 2 [Guardianship among Muslims governed by Muslim Personal Law, subject to Section 17, GWA]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rakq0sxc0zuu" w:id="25"/>
      <w:bookmarkEnd w:id="25"/>
      <w:r w:rsidDel="00000000" w:rsidR="00000000" w:rsidRPr="00000000">
        <w:rPr>
          <w:rtl w:val="0"/>
        </w:rPr>
        <w:t xml:space="preserve">1. PRE-SUIT STAGE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bookmarkStart w:colFirst="0" w:colLast="0" w:name="_a42h9g3oxgtk" w:id="26"/>
      <w:bookmarkEnd w:id="26"/>
      <w:r w:rsidDel="00000000" w:rsidR="00000000" w:rsidRPr="00000000">
        <w:rPr>
          <w:rtl w:val="0"/>
        </w:rPr>
        <w:t xml:space="preserve">    1.1 Legal Notice</w:t>
      </w:r>
    </w:p>
    <w:p w:rsidR="00000000" w:rsidDel="00000000" w:rsidP="00000000" w:rsidRDefault="00000000" w:rsidRPr="00000000" w14:paraId="00000026">
      <w:pPr>
        <w:rPr/>
      </w:pPr>
      <w:r w:rsidDel="00000000" w:rsidR="00000000" w:rsidRPr="00000000">
        <w:rPr>
          <w:rtl w:val="0"/>
        </w:rPr>
        <w:t xml:space="preserve">No provision in the Family Courts Act, 1964 or the Guardians and Wards Act, 1890 requires service of a prior legal notice. A guardianship petition may be instituted directly under Section 5, FCA 1964 read with Sections 7, 8 and 10, GWA 1890.</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bookmarkStart w:colFirst="0" w:colLast="0" w:name="_rzpsz2ax0tiq" w:id="27"/>
      <w:bookmarkEnd w:id="27"/>
      <w:r w:rsidDel="00000000" w:rsidR="00000000" w:rsidRPr="00000000">
        <w:rPr>
          <w:rtl w:val="0"/>
        </w:rPr>
        <w:t xml:space="preserve">   1.2 Limitation Period</w:t>
      </w:r>
    </w:p>
    <w:p w:rsidR="00000000" w:rsidDel="00000000" w:rsidP="00000000" w:rsidRDefault="00000000" w:rsidRPr="00000000" w14:paraId="00000029">
      <w:pPr>
        <w:rPr/>
      </w:pPr>
      <w:r w:rsidDel="00000000" w:rsidR="00000000" w:rsidRPr="00000000">
        <w:rPr>
          <w:rtl w:val="0"/>
        </w:rPr>
        <w:t xml:space="preserve">No limitation period under the Limitation Act, 1908 applies to the filing of a guardianship petition. Guardianship is a continuing matter connected with the welfare of the minor. An existing order remains liable to modification upon proof of a material change in circumstances.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udlx23cgtx7c" w:id="28"/>
      <w:bookmarkEnd w:id="28"/>
      <w:r w:rsidDel="00000000" w:rsidR="00000000" w:rsidRPr="00000000">
        <w:rPr>
          <w:rtl w:val="0"/>
        </w:rPr>
        <w:t xml:space="preserve">2. PRE-TRIAL STAGE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bookmarkStart w:colFirst="0" w:colLast="0" w:name="_ne8m5uhahq5q" w:id="29"/>
      <w:bookmarkEnd w:id="29"/>
      <w:r w:rsidDel="00000000" w:rsidR="00000000" w:rsidRPr="00000000">
        <w:rPr>
          <w:rtl w:val="0"/>
        </w:rPr>
        <w:t xml:space="preserve">   2.1 Plaint [Guardianship Petition]</w:t>
      </w:r>
    </w:p>
    <w:p w:rsidR="00000000" w:rsidDel="00000000" w:rsidP="00000000" w:rsidRDefault="00000000" w:rsidRPr="00000000" w14:paraId="00000030">
      <w:pPr>
        <w:rPr/>
      </w:pPr>
      <w:r w:rsidDel="00000000" w:rsidR="00000000" w:rsidRPr="00000000">
        <w:rPr>
          <w:rtl w:val="0"/>
        </w:rPr>
        <w:t xml:space="preserve">Section 5, FCA 1964; Sections 7, 8, 9 and 10, GWA 1890</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Who may apply [Section 8, GWA]: Father, mother, grandfather, relative, friend of the minor, or any person interested in the welfare of the minor.</w:t>
      </w:r>
    </w:p>
    <w:p w:rsidR="00000000" w:rsidDel="00000000" w:rsidP="00000000" w:rsidRDefault="00000000" w:rsidRPr="00000000" w14:paraId="00000033">
      <w:pPr>
        <w:rPr/>
      </w:pPr>
      <w:r w:rsidDel="00000000" w:rsidR="00000000" w:rsidRPr="00000000">
        <w:rPr>
          <w:rtl w:val="0"/>
        </w:rPr>
        <w:t xml:space="preserve">Power to appoint [Section 7, GWA]: The Court may appoint a guardian only if satisfied that such appointment is necessary for the welfare of the minor.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Territorial Jurisdiction [Section 9, GWA]: The petition shall be filed before the Court within whose jurisdiction the minor ordinarily resides. The determining factors include permanent residence, place of schooling, duration of stay, and the person providing daily care.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Contents [Section 10, GWA]: The petition shall state the name, sex, religion, age and ordinary residence of the minor; particulars of parents and existing guardian; person in actual custody; grounds for appointment; and facts showing that the appointment will serve the minor’s welfare. The petition may seek appointment as guardian, custody, visitation and interim relief. It must be duly verified.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Documents: B-Form/Birth Certificate, CNIC of applicant, proof of relationship, marriage/divorce certificate, and evidence of existing custody.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Notice [Section 11, GWA]: Notice shall be issued to parents, existing guardian, person in actual custody, and any other person the Court deems necessary. Service may be effected through process server, registered post, or publication.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rPr/>
      </w:pPr>
      <w:bookmarkStart w:colFirst="0" w:colLast="0" w:name="_4wnk9xdlvmok" w:id="30"/>
      <w:bookmarkEnd w:id="30"/>
      <w:r w:rsidDel="00000000" w:rsidR="00000000" w:rsidRPr="00000000">
        <w:rPr>
          <w:rtl w:val="0"/>
        </w:rPr>
        <w:t xml:space="preserve">     2.2 Written Statement</w:t>
      </w:r>
    </w:p>
    <w:p w:rsidR="00000000" w:rsidDel="00000000" w:rsidP="00000000" w:rsidRDefault="00000000" w:rsidRPr="00000000" w14:paraId="0000003E">
      <w:pPr>
        <w:rPr/>
      </w:pPr>
      <w:r w:rsidDel="00000000" w:rsidR="00000000" w:rsidRPr="00000000">
        <w:rPr>
          <w:rtl w:val="0"/>
        </w:rPr>
        <w:t xml:space="preserve">Section 9, FCA 1964</w:t>
      </w:r>
    </w:p>
    <w:p w:rsidR="00000000" w:rsidDel="00000000" w:rsidP="00000000" w:rsidRDefault="00000000" w:rsidRPr="00000000" w14:paraId="0000003F">
      <w:pPr>
        <w:rPr/>
      </w:pPr>
      <w:r w:rsidDel="00000000" w:rsidR="00000000" w:rsidRPr="00000000">
        <w:rPr>
          <w:rtl w:val="0"/>
        </w:rPr>
        <w:t xml:space="preserve">Upon service of notice, the respondent shall file a written statement admitting or denying the allegations, raising objections to jurisdiction or maintainability, asserting his/her own claim to guardianship, and challenging the suitability of the petitioner. The written statement shall be accompanied by documents and a list of witnesses. The Court may proceed ex-parte but shall decide the matter with regard to the welfare of the minor.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bookmarkStart w:colFirst="0" w:colLast="0" w:name="_wnwfjmttyelr" w:id="31"/>
      <w:bookmarkEnd w:id="31"/>
      <w:r w:rsidDel="00000000" w:rsidR="00000000" w:rsidRPr="00000000">
        <w:rPr>
          <w:rtl w:val="0"/>
        </w:rPr>
        <w:t xml:space="preserve">       2.3 Settlement Efforts</w:t>
      </w:r>
    </w:p>
    <w:p w:rsidR="00000000" w:rsidDel="00000000" w:rsidP="00000000" w:rsidRDefault="00000000" w:rsidRPr="00000000" w14:paraId="00000042">
      <w:pPr>
        <w:rPr/>
      </w:pPr>
      <w:r w:rsidDel="00000000" w:rsidR="00000000" w:rsidRPr="00000000">
        <w:rPr>
          <w:rtl w:val="0"/>
        </w:rPr>
        <w:t xml:space="preserve"> [Section 10(3), FCA 1964]</w:t>
      </w:r>
    </w:p>
    <w:p w:rsidR="00000000" w:rsidDel="00000000" w:rsidP="00000000" w:rsidRDefault="00000000" w:rsidRPr="00000000" w14:paraId="00000043">
      <w:pPr>
        <w:rPr/>
      </w:pPr>
      <w:r w:rsidDel="00000000" w:rsidR="00000000" w:rsidRPr="00000000">
        <w:rPr>
          <w:rtl w:val="0"/>
        </w:rPr>
        <w:t xml:space="preserve">After completion of pleadings, the Court shall ascertain the points of controversy and make efforts for reconciliation. In guardianship matters this may include custody, visitation, education and medical arrangements. If settlement is reached, the Court shall record it and pass an appropriate order.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pPr>
      <w:bookmarkStart w:colFirst="0" w:colLast="0" w:name="_kgxpelvctzdv" w:id="32"/>
      <w:bookmarkEnd w:id="32"/>
      <w:r w:rsidDel="00000000" w:rsidR="00000000" w:rsidRPr="00000000">
        <w:rPr>
          <w:rtl w:val="0"/>
        </w:rPr>
        <w:t xml:space="preserve">     2.4 Framing of Issues </w:t>
      </w:r>
    </w:p>
    <w:p w:rsidR="00000000" w:rsidDel="00000000" w:rsidP="00000000" w:rsidRDefault="00000000" w:rsidRPr="00000000" w14:paraId="00000046">
      <w:pPr>
        <w:rPr/>
      </w:pPr>
      <w:r w:rsidDel="00000000" w:rsidR="00000000" w:rsidRPr="00000000">
        <w:rPr>
          <w:rtl w:val="0"/>
        </w:rPr>
        <w:t xml:space="preserve">[Section 10(4), FCA 1964]</w:t>
      </w:r>
    </w:p>
    <w:p w:rsidR="00000000" w:rsidDel="00000000" w:rsidP="00000000" w:rsidRDefault="00000000" w:rsidRPr="00000000" w14:paraId="00000047">
      <w:pPr>
        <w:rPr/>
      </w:pPr>
      <w:r w:rsidDel="00000000" w:rsidR="00000000" w:rsidRPr="00000000">
        <w:rPr>
          <w:rtl w:val="0"/>
        </w:rPr>
        <w:t xml:space="preserve">If settlement fails, the Court shall frame the issues arising from the pleadings, such as necessity of appointment, suitability of petitioner, and whether the proposed appointment serves the welfare of the minor.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2kf6xdt77vk6" w:id="33"/>
      <w:bookmarkEnd w:id="33"/>
      <w:r w:rsidDel="00000000" w:rsidR="00000000" w:rsidRPr="00000000">
        <w:rPr>
          <w:rtl w:val="0"/>
        </w:rPr>
        <w:t xml:space="preserve">3. TRIAL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pPr>
      <w:bookmarkStart w:colFirst="0" w:colLast="0" w:name="_51btp89ij2ej" w:id="34"/>
      <w:bookmarkEnd w:id="34"/>
      <w:r w:rsidDel="00000000" w:rsidR="00000000" w:rsidRPr="00000000">
        <w:rPr>
          <w:rtl w:val="0"/>
        </w:rPr>
        <w:t xml:space="preserve">     3.1 Presentation of Evidence</w:t>
      </w:r>
    </w:p>
    <w:p w:rsidR="00000000" w:rsidDel="00000000" w:rsidP="00000000" w:rsidRDefault="00000000" w:rsidRPr="00000000" w14:paraId="0000004D">
      <w:pPr>
        <w:rPr/>
      </w:pPr>
      <w:r w:rsidDel="00000000" w:rsidR="00000000" w:rsidRPr="00000000">
        <w:rPr>
          <w:rtl w:val="0"/>
        </w:rPr>
        <w:t xml:space="preserve">Section 11, FCA 1964; Sections 12 and 17, GWA 1890</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Interim Orders [Section 12, GWA]: During pendency, the Court may direct production of the minor, make temporary custody arrangements, regulate interim visitation, and restrain removal of the minor from its jurisdiction or from Pakistan.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Recording of Evidence [Section 11, FCA]: The petitioner shall lead evidence first to prove necessity and suitability. Thereafter, the respondent shall lead evidence. Witnesses are liable to cross-examination. The Court may put questions to clarify matters relevant to welfare. Strict rules of evidence are not applicable, but evidence must be relevant and reliable.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4"/>
        <w:rPr/>
      </w:pPr>
      <w:bookmarkStart w:colFirst="0" w:colLast="0" w:name="_50jdi61a4rc5" w:id="35"/>
      <w:bookmarkEnd w:id="35"/>
      <w:r w:rsidDel="00000000" w:rsidR="00000000" w:rsidRPr="00000000">
        <w:rPr>
          <w:rtl w:val="0"/>
        </w:rPr>
        <w:t xml:space="preserve">                   3.1.1 Petitioner’s Evidence and Cross-Examination</w:t>
      </w:r>
    </w:p>
    <w:p w:rsidR="00000000" w:rsidDel="00000000" w:rsidP="00000000" w:rsidRDefault="00000000" w:rsidRPr="00000000" w14:paraId="00000054">
      <w:pPr>
        <w:rPr/>
      </w:pPr>
      <w:r w:rsidDel="00000000" w:rsidR="00000000" w:rsidRPr="00000000">
        <w:rPr>
          <w:rtl w:val="0"/>
        </w:rPr>
        <w:t xml:space="preserve">Examination-in-chief, cross-examination by respondent, and re-examination.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4"/>
        <w:rPr/>
      </w:pPr>
      <w:bookmarkStart w:colFirst="0" w:colLast="0" w:name="_ljzdqfloqspk" w:id="36"/>
      <w:bookmarkEnd w:id="36"/>
      <w:r w:rsidDel="00000000" w:rsidR="00000000" w:rsidRPr="00000000">
        <w:rPr>
          <w:rtl w:val="0"/>
        </w:rPr>
        <w:t xml:space="preserve">                  3.1.2 Respondent’s Evidence and Cross-Examination</w:t>
      </w:r>
    </w:p>
    <w:p w:rsidR="00000000" w:rsidDel="00000000" w:rsidP="00000000" w:rsidRDefault="00000000" w:rsidRPr="00000000" w14:paraId="00000057">
      <w:pPr>
        <w:rPr/>
      </w:pPr>
      <w:r w:rsidDel="00000000" w:rsidR="00000000" w:rsidRPr="00000000">
        <w:rPr>
          <w:rtl w:val="0"/>
        </w:rPr>
        <w:t xml:space="preserve">Examination-in-chief, cross-examination by petitioner, and re-examination.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Minor’s Preference [Section 17(3), GWA]:If the minor is capable of forming an intelligent preference, the Court may ascertain it in chambers. Such preference is one factor and is not conclusive.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Welfare Principle and Personal Law [Sections 17 and 19, GWA]: Muslim Personal Law may recognize preferential rights of guardianship, but such rights are subject to the welfare principle under Section 17, GWA. Under Section 19, GWA, the Court shall not appoint a guardian of the person of a minor if the father is living and is not, in the opinion of the Court, unfit.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rygcxog02iok" w:id="37"/>
      <w:bookmarkEnd w:id="37"/>
      <w:r w:rsidDel="00000000" w:rsidR="00000000" w:rsidRPr="00000000">
        <w:rPr>
          <w:rtl w:val="0"/>
        </w:rPr>
        <w:t xml:space="preserve">       3.2 Final Arguments</w:t>
      </w:r>
    </w:p>
    <w:p w:rsidR="00000000" w:rsidDel="00000000" w:rsidP="00000000" w:rsidRDefault="00000000" w:rsidRPr="00000000" w14:paraId="0000005E">
      <w:pPr>
        <w:rPr/>
      </w:pPr>
      <w:r w:rsidDel="00000000" w:rsidR="00000000" w:rsidRPr="00000000">
        <w:rPr>
          <w:rtl w:val="0"/>
        </w:rPr>
        <w:t xml:space="preserve">After close of evidence, counsel shall address the Court on the issues framed, the evidence adduced, and application of Section 17, GWA factors.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pPr>
      <w:bookmarkStart w:colFirst="0" w:colLast="0" w:name="_10qgutvfokrr" w:id="38"/>
      <w:bookmarkEnd w:id="38"/>
      <w:r w:rsidDel="00000000" w:rsidR="00000000" w:rsidRPr="00000000">
        <w:rPr>
          <w:rtl w:val="0"/>
        </w:rPr>
        <w:t xml:space="preserve">      3.3 Judgment and Decree</w:t>
      </w:r>
    </w:p>
    <w:p w:rsidR="00000000" w:rsidDel="00000000" w:rsidP="00000000" w:rsidRDefault="00000000" w:rsidRPr="00000000" w14:paraId="00000061">
      <w:pPr>
        <w:rPr/>
      </w:pPr>
      <w:r w:rsidDel="00000000" w:rsidR="00000000" w:rsidRPr="00000000">
        <w:rPr>
          <w:rtl w:val="0"/>
        </w:rPr>
        <w:t xml:space="preserve">Sections 7, 17 and 19, GWA 1890</w:t>
      </w:r>
    </w:p>
    <w:p w:rsidR="00000000" w:rsidDel="00000000" w:rsidP="00000000" w:rsidRDefault="00000000" w:rsidRPr="00000000" w14:paraId="00000062">
      <w:pPr>
        <w:rPr/>
      </w:pPr>
      <w:r w:rsidDel="00000000" w:rsidR="00000000" w:rsidRPr="00000000">
        <w:rPr>
          <w:rtl w:val="0"/>
        </w:rPr>
        <w:t xml:space="preserve">The welfare of the minor is the paramount consideration. The Court shall consider age, sex, emotional and physical needs, character and capacity of the proposed guardian, relationship with the minor, and stability of environment.</w:t>
      </w:r>
    </w:p>
    <w:p w:rsidR="00000000" w:rsidDel="00000000" w:rsidP="00000000" w:rsidRDefault="00000000" w:rsidRPr="00000000" w14:paraId="00000063">
      <w:pPr>
        <w:rPr/>
      </w:pPr>
      <w:r w:rsidDel="00000000" w:rsidR="00000000" w:rsidRPr="00000000">
        <w:rPr>
          <w:rtl w:val="0"/>
        </w:rPr>
        <w:t xml:space="preserve">The Court may appoint a guardian, grant custody or visitation, or dismiss the petition. The decree may contain directions regarding residence, education, medical care and supervision.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g81w6thcb05z" w:id="39"/>
      <w:bookmarkEnd w:id="39"/>
      <w:r w:rsidDel="00000000" w:rsidR="00000000" w:rsidRPr="00000000">
        <w:rPr>
          <w:rtl w:val="0"/>
        </w:rPr>
        <w:t xml:space="preserve">4. POST-TRIAL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udi2309l7meb" w:id="40"/>
      <w:bookmarkEnd w:id="40"/>
      <w:r w:rsidDel="00000000" w:rsidR="00000000" w:rsidRPr="00000000">
        <w:rPr>
          <w:rtl w:val="0"/>
        </w:rPr>
        <w:t xml:space="preserve">       4.1 Execution</w:t>
      </w:r>
    </w:p>
    <w:p w:rsidR="00000000" w:rsidDel="00000000" w:rsidP="00000000" w:rsidRDefault="00000000" w:rsidRPr="00000000" w14:paraId="00000068">
      <w:pPr>
        <w:rPr/>
      </w:pPr>
      <w:r w:rsidDel="00000000" w:rsidR="00000000" w:rsidRPr="00000000">
        <w:rPr>
          <w:rtl w:val="0"/>
        </w:rPr>
        <w:t xml:space="preserve">Sections 25 and 17, GWA 1890</w:t>
      </w:r>
    </w:p>
    <w:p w:rsidR="00000000" w:rsidDel="00000000" w:rsidP="00000000" w:rsidRDefault="00000000" w:rsidRPr="00000000" w14:paraId="00000069">
      <w:pPr>
        <w:rPr/>
      </w:pPr>
      <w:r w:rsidDel="00000000" w:rsidR="00000000" w:rsidRPr="00000000">
        <w:rPr>
          <w:rtl w:val="0"/>
        </w:rPr>
        <w:t xml:space="preserve">Return of Ward [Section 25, GWA]: Where a minor has been removed from lawful custody, the guardian may apply for return. The Court shall order return only if it serves the welfare of the minor.</w:t>
      </w:r>
    </w:p>
    <w:p w:rsidR="00000000" w:rsidDel="00000000" w:rsidP="00000000" w:rsidRDefault="00000000" w:rsidRPr="00000000" w14:paraId="0000006A">
      <w:pPr>
        <w:rPr/>
      </w:pPr>
      <w:r w:rsidDel="00000000" w:rsidR="00000000" w:rsidRPr="00000000">
        <w:rPr>
          <w:rtl w:val="0"/>
        </w:rPr>
        <w:t xml:space="preserve">Modification: A guardianship order is not final and may be modified upon proof of material change in circumstances affecting the welfare of the minor.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bookmarkStart w:colFirst="0" w:colLast="0" w:name="_kpjmlhlgawdl" w:id="41"/>
      <w:bookmarkEnd w:id="41"/>
      <w:r w:rsidDel="00000000" w:rsidR="00000000" w:rsidRPr="00000000">
        <w:rPr>
          <w:rtl w:val="0"/>
        </w:rPr>
        <w:t xml:space="preserve">        4.2 Appeal</w:t>
      </w:r>
    </w:p>
    <w:p w:rsidR="00000000" w:rsidDel="00000000" w:rsidP="00000000" w:rsidRDefault="00000000" w:rsidRPr="00000000" w14:paraId="0000006D">
      <w:pPr>
        <w:rPr/>
      </w:pPr>
      <w:r w:rsidDel="00000000" w:rsidR="00000000" w:rsidRPr="00000000">
        <w:rPr>
          <w:rtl w:val="0"/>
        </w:rPr>
        <w:t xml:space="preserve">Section 47, GWA 1890; Section 14, FCA 1964; Article 155, Limitation Act, 1908</w:t>
      </w:r>
    </w:p>
    <w:p w:rsidR="00000000" w:rsidDel="00000000" w:rsidP="00000000" w:rsidRDefault="00000000" w:rsidRPr="00000000" w14:paraId="0000006E">
      <w:pPr>
        <w:rPr/>
      </w:pPr>
      <w:r w:rsidDel="00000000" w:rsidR="00000000" w:rsidRPr="00000000">
        <w:rPr>
          <w:rtl w:val="0"/>
        </w:rPr>
        <w:t xml:space="preserve">Appealable orders include appointment or refusal to appoint guardian and orders for return of ward.</w:t>
      </w:r>
    </w:p>
    <w:p w:rsidR="00000000" w:rsidDel="00000000" w:rsidP="00000000" w:rsidRDefault="00000000" w:rsidRPr="00000000" w14:paraId="0000006F">
      <w:pPr>
        <w:rPr/>
      </w:pPr>
      <w:r w:rsidDel="00000000" w:rsidR="00000000" w:rsidRPr="00000000">
        <w:rPr>
          <w:rtl w:val="0"/>
        </w:rPr>
        <w:t xml:space="preserve">Forum:If the Family Court is presided over by a District Judge or Additional District Judge, appeal lies to the High Court. In other cases, appeal lies to the District Court.</w:t>
      </w:r>
    </w:p>
    <w:p w:rsidR="00000000" w:rsidDel="00000000" w:rsidP="00000000" w:rsidRDefault="00000000" w:rsidRPr="00000000" w14:paraId="00000070">
      <w:pPr>
        <w:rPr/>
      </w:pPr>
      <w:r w:rsidDel="00000000" w:rsidR="00000000" w:rsidRPr="00000000">
        <w:rPr>
          <w:rtl w:val="0"/>
        </w:rPr>
        <w:t xml:space="preserve">Limitation: 30 days from the date of judgment, decree or order.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