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3fa2n2uoroms" w:id="0"/>
      <w:bookmarkEnd w:id="0"/>
      <w:r w:rsidDel="00000000" w:rsidR="00000000" w:rsidRPr="00000000">
        <w:rPr>
          <w:rtl w:val="0"/>
        </w:rPr>
        <w:t xml:space="preserve"> COURT FEE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Court fee for dower suits is </w:t>
      </w:r>
      <w:r w:rsidDel="00000000" w:rsidR="00000000" w:rsidRPr="00000000">
        <w:rPr>
          <w:b w:val="1"/>
          <w:bCs w:val="1"/>
          <w:rtl w:val="0"/>
        </w:rPr>
        <w:t xml:space="preserve">fixed/nominal</w:t>
      </w:r>
      <w:r w:rsidDel="00000000" w:rsidR="00000000" w:rsidRPr="00000000">
        <w:rPr>
          <w:rtl w:val="0"/>
        </w:rPr>
        <w:t xml:space="preserve">, not ad valorem — </w:t>
      </w:r>
      <w:r w:rsidDel="00000000" w:rsidR="00000000" w:rsidRPr="00000000">
        <w:rPr>
          <w:i w:val="1"/>
          <w:iCs w:val="1"/>
          <w:rtl w:val="0"/>
        </w:rPr>
        <w:t xml:space="preserve">FCA 1964 s.19</w:t>
      </w:r>
      <w:r w:rsidDel="00000000" w:rsidR="00000000" w:rsidRPr="00000000">
        <w:rPr>
          <w:rtl w:val="0"/>
        </w:rPr>
        <w:t xml:space="preserve">, read with applicable Provincial Family Courts Rules.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 paid at time of filing; suit not registered without it — </w:t>
      </w:r>
      <w:r w:rsidDel="00000000" w:rsidR="00000000" w:rsidRPr="00000000">
        <w:rPr>
          <w:i w:val="1"/>
          <w:iCs w:val="1"/>
          <w:rtl w:val="0"/>
        </w:rPr>
        <w:t xml:space="preserve">FCA 1964 s.7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applications and appeals may carry a separate, usually low, fixed fee — </w:t>
      </w:r>
      <w:r w:rsidDel="00000000" w:rsidR="00000000" w:rsidRPr="00000000">
        <w:rPr>
          <w:i w:val="1"/>
          <w:iCs w:val="1"/>
          <w:rtl w:val="0"/>
        </w:rPr>
        <w:t xml:space="preserve">FCA 1964 s.13, s.14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amount depends on provincial schedule (Punjab/Sindh/KPK/Balochistan/ICT vary slightly).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