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lcvcsgst5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COURT FEE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joined with a dissolution/Khula suit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separate, dowry-specific court fee structure is prescribed; the combined suit is treated procedurally as a single plaint.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filed as a standalone suit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flat, nominal court fee of </w:t>
      </w:r>
      <w:r w:rsidDel="00000000" w:rsidR="00000000" w:rsidRPr="00000000">
        <w:rPr>
          <w:b w:val="1"/>
          <w:bCs w:val="1"/>
          <w:rtl w:val="0"/>
        </w:rPr>
        <w:t xml:space="preserve">Rs. 15</w:t>
      </w:r>
      <w:r w:rsidDel="00000000" w:rsidR="00000000" w:rsidRPr="00000000">
        <w:rPr>
          <w:rtl w:val="0"/>
        </w:rPr>
        <w:t xml:space="preserve"> is payable on the plaint — Section 19, FCA 1964.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flat fee expressly overrides the ordinary ad valorem (value-based) fee that would otherwise apply under the Court Fees Act, 1870.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provision functions as an access-to-justice safeguard, ensuring that the cost of filing does not scale with the value of the articles claimed.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