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6amsro90w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DOCUMENTS REQUIRED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Reporting of Violence / Initial Application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Written application to the Court, or report to the WPO/VAWC, as the mode of initiating the matter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 copy, where a parallel criminal complaint has also been registered under the Code of Criminal Procedure, 1898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Application for Interim Order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specifically seeking interim protection under Section 15 of the Act, setting out the immediate risk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Application for Protection Order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under Section 16 of the Act, detailing the conduct sought to be restrained (contact, proximity, possession of weapons)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Application for Residence Order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under Section 17 of the Act, establishing the aggrieved person's connection to and right to remain in the shared household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Application for Monetary Order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under Section 18 of the Act, with details of the maintenance/compensation sought and the basis for the amount claimed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Parallel Criminal Proceedings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 registered under the Code of Criminal Procedure, 1898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Medico-legal certificates, forensic material, photographs, and messages collected in support of the criminal complaint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Defendant's Non-Appearance / Ex-Parte Proceedings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Proof of service of notice on the defendant, enabling the Court to proceed ex-parte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Violation of a Protection or Residence Order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Evidence of the breach of the existing order — Section 24 of the Act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Execution/Enforcement of Orders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Certified copy of the order for enforcement by police/Protection Officer — Section 25 of the Act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Appeal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Certified copy of the judgment/order appealed against, filed before the Sessions Court/designated forum — Section 28 of the Act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