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0rotuyvig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DOCUMENTS REQUIRED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Pure Khula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Plaint with Nikahnama particulars — Section 7, FCA 1964; Rule 4, 1965 Rules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Plea of Khula under Section 2(ix), DMMA 1939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Names, ages and B-Forms of minor children — content of plaint, Section 7, FCA 1964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Fault-Based Dissolution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Plaint stating fault grounds — Section 7, FCA 1964, read with Section 2, DMMA 1939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Nikahnama particulars — Section 7, FCA 1964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Evidence/witnesses on the specific ground — Section 11, FCA 1964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Recovery of Haq Mehr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Plaint joining Haq Mehr claim — Section 7(2), FCA 1964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Nikahnama recording prompt/deferred dower amount — Section 7, FCA 1964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Recovery of Dowry Articles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Plaint with dowry claim — Section 7(2), FCA 1964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List/valuation of dowry articles, gifts, jewelry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Maintenance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Plaint joining maintenance claim — Section 7(2), FCA 1964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income/needs relevant to maintenance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Child Custody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Plaint stating names, ages and B-Forms of minor children — Section 7, FCA 1964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Custody claim joined in plaint — Section 7(2), FCA 1964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Execution / Iddat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Certified copy of decree — Section 21, FCA 1964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 to Union Council — Section 7, MFLO 1961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Appeal on Ancillary Matters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Certified copy of impugned order/decree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Memorandum of appeal filed within limitation — Section 14, FCA 1964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