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sk4yui3f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DOCUMENTS REQUIRED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Identification of Legal Heirs / Death Certificate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Death certificate obtained from the Union Council/NADRA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notice (not mandatory, but standard practice) sent to an uncooperative heir occupying the property or refusing cooperation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Succession Certificate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under Sections 370–390, Succession Act, 1925, stating names/addresses of all legal heirs, their relationship to the deceased, details of assets, and a declaration of no obstruction to distribution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Letters of Administration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under Section 278, Succession Act, 1925, with the same particulars of heirs and assets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Probate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under Section 276, Succession Act, 1925, along with the valid will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NADRA Route for Uncontested Cases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as prescribed under the Letters of Administration and Certificate of Succession Act, 2020, for direct processing by NADRA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Objections/Caveat by Heirs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Caveat or formal objection filed by any heir or interested party disputing the heirship claim, list of heirs, or validity of a will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Partition Suit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Proof of the cause of action, i.e., the date the applicant's share was first denied or the applicant was excluded from possession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Execution/Mutation of Property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decree or certificate presented to the local revenue office for mutation (immovable property)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succession certificate presented to banks/share registrars (movable assets)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Denial of Women's Inheritance Rights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Evidence of denial of share during mutation, filed before the dedicated grievance mechanism under the 2019 Act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Certified copy of the trial court's judgment/order appealed against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