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j2782o70s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DOCUMENTS REQUIRED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Plaint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foundational pleading, whether filed jointly with a dissolution suit or independently.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set out all material facts of the dispute — Section 7(2), FCA 1964.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be accompanied by a schedule of the plaintiff's witnesses, with a précis of the evidence each is expected to give.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Itemized List/Valuation of Dowry Articles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Specifies precisely which articles, gifts, and jewelry are claimed and their respective values.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Directly relevant to determining the decretal value, which in turn governs appealability.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Supporting/Corroborating Documents</w:t>
      </w:r>
      <w:r w:rsidDel="00000000" w:rsidR="00000000" w:rsidRPr="00000000">
        <w:rPr>
          <w:rtl w:val="0"/>
        </w:rPr>
        <w:t xml:space="preserve"> (not strictly mandatory, but evidentially significant)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Nikahnama — may record particulars of dowry given at the time of marriage.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Dowry (Jahez) list prepared contemporaneously with the marriage.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of bridal gifts.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Purchase receipts or invoices.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Photographs of the articles.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legal notice issued demanding return of the articles.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Correspondence exchanged between the parties.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documents strengthen the claim on ownership and quantum, though the claim is not barred for want of them if otherwise provable through oral or witness evidence.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