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saq4skztq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JURISDICTION — ORIGINAL, APPELLATE, TERRITORIAL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Reporting of Violence / Initial Application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applicable — pre-application step; the aggrieved person may approach the WPO, VAWC, the Punjab Women Protection Authority helpline (1043), or go directly to court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FIR: registered with the police under the Code of Criminal Procedure, 1898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Application for Interim Order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Family Court having jurisdiction under the Act — Section 15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Territorial/Appellate: Not separately specified; governed by the Family Court's general jurisdiction under the Act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Application for Protection Order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Section 16 of the Act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Within the general appeal framework under Section 28 of the Act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Application for Residence Order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Section 17 of the Act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Within the general appeal framework under Section 28 of the Act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Application for Monetary Order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Section 18 of the Act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Within the general appeal framework under Section 28 of the Act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Parallel Criminal Proceedings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Police/criminal courts under the Code of Criminal Procedure, 1898, operating independently and in parallel with the Family Court proceedings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Police station within whose jurisdiction the offence occurred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Defendant's Non-Appearance / Ex-Parte Proceedings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Original: Same Family Court seized of the application, proceeding ex-parte once notice is shown to have issued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Violation of a Protection or Residence Order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Treated as a criminal offence under Section 24 of the Act, distinct from the original civil/protective application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Determined by where the violation occurred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Execution/Enforcement of Orders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Enforced by police and the Protection Officer, as legally bound under Section 25 of the Act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Area where the order is to be enforced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Appeal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Appellate: Sessions Court, or the appellate forum designated under Section 28 of the Act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Further recourse: High Court's constitutional jurisdiction remains available even though the Sessions Court decision is generally final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