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c3l47p49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JURISDICTION — ORIGINAL, TERRITORIAL AND APPELLATE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Jurisdiction</w:t>
      </w:r>
      <w:r w:rsidDel="00000000" w:rsidR="00000000" w:rsidRPr="00000000">
        <w:rPr>
          <w:rtl w:val="0"/>
        </w:rPr>
        <w:t xml:space="preserve"> The suit must be filed before the </w:t>
      </w:r>
      <w:r w:rsidDel="00000000" w:rsidR="00000000" w:rsidRPr="00000000">
        <w:rPr>
          <w:b w:val="1"/>
          <w:bCs w:val="1"/>
          <w:rtl w:val="0"/>
        </w:rPr>
        <w:t xml:space="preserve">Family Court</w:t>
      </w:r>
      <w:r w:rsidDel="00000000" w:rsidR="00000000" w:rsidRPr="00000000">
        <w:rPr>
          <w:rtl w:val="0"/>
        </w:rPr>
        <w:t xml:space="preserve">, which has exclusive jurisdiction over restitution of conjugal rights cases. </w:t>
      </w:r>
      <w:r w:rsidDel="00000000" w:rsidR="00000000" w:rsidRPr="00000000">
        <w:rPr>
          <w:i w:val="1"/>
          <w:iCs w:val="1"/>
          <w:rtl w:val="0"/>
        </w:rPr>
        <w:t xml:space="preserve">Law: Family Courts Act, 1964, Section 5(1) read with Item 4, Part I of the Schedule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Territorial Jurisdiction</w:t>
      </w:r>
      <w:r w:rsidDel="00000000" w:rsidR="00000000" w:rsidRPr="00000000">
        <w:rPr>
          <w:rtl w:val="0"/>
        </w:rPr>
        <w:t xml:space="preserve"> The case is filed in the Family Court of the area where: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marriage was solemnized, or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spouses last resided together, or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wife currently resides. </w:t>
      </w:r>
      <w:r w:rsidDel="00000000" w:rsidR="00000000" w:rsidRPr="00000000">
        <w:rPr>
          <w:i w:val="1"/>
          <w:iCs w:val="1"/>
          <w:rtl w:val="0"/>
        </w:rPr>
        <w:t xml:space="preserve">Law: West Pakistan Family Courts Rules, 1965, Rules 5–6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Appellate Jurisdiction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Family Court is presided over by a </w:t>
      </w:r>
      <w:r w:rsidDel="00000000" w:rsidR="00000000" w:rsidRPr="00000000">
        <w:rPr>
          <w:b w:val="1"/>
          <w:bCs w:val="1"/>
          <w:rtl w:val="0"/>
        </w:rPr>
        <w:t xml:space="preserve">District Judge or Additional District Judge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(or an officer of that rank) → appeal goes to the </w:t>
      </w:r>
      <w:r w:rsidDel="00000000" w:rsidR="00000000" w:rsidRPr="00000000">
        <w:rPr>
          <w:b w:val="1"/>
          <w:bCs w:val="1"/>
          <w:rtl w:val="0"/>
        </w:rPr>
        <w:t xml:space="preserve">High Court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any other case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appeal goes to the </w:t>
      </w:r>
      <w:r w:rsidDel="00000000" w:rsidR="00000000" w:rsidRPr="00000000">
        <w:rPr>
          <w:b w:val="1"/>
          <w:bCs w:val="1"/>
          <w:rtl w:val="0"/>
        </w:rPr>
        <w:t xml:space="preserve">District Court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Law: Family Courts Act, 1964, Section 14(1)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 on Appeal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appeal or revision is allowed against an </w:t>
      </w:r>
      <w:r w:rsidDel="00000000" w:rsidR="00000000" w:rsidRPr="00000000">
        <w:rPr>
          <w:b w:val="1"/>
          <w:bCs w:val="1"/>
          <w:rtl w:val="0"/>
        </w:rPr>
        <w:t xml:space="preserve">interim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restitution of conjugal rights decree can </w:t>
      </w:r>
      <w:r w:rsidDel="00000000" w:rsidR="00000000" w:rsidRPr="00000000">
        <w:rPr>
          <w:b w:val="1"/>
          <w:bCs w:val="1"/>
          <w:rtl w:val="0"/>
        </w:rPr>
        <w:t xml:space="preserve">always be appealed</w:t>
      </w:r>
      <w:r w:rsidDel="00000000" w:rsidR="00000000" w:rsidRPr="00000000">
        <w:rPr>
          <w:rtl w:val="0"/>
        </w:rPr>
        <w:t xml:space="preserve"> — there is no minimum amount or condition that blocks the appeal (unlike some dissolution, dower, or maintenance decrees, which have limits). </w:t>
      </w:r>
      <w:r w:rsidDel="00000000" w:rsidR="00000000" w:rsidRPr="00000000">
        <w:rPr>
          <w:i w:val="1"/>
          <w:iCs w:val="1"/>
          <w:rtl w:val="0"/>
        </w:rPr>
        <w:t xml:space="preserve">Law: Family Courts Act, 1964, Section 14(2) and 14(3)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