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izemzydhqiqy" w:id="0"/>
      <w:bookmarkEnd w:id="0"/>
      <w:r w:rsidDel="00000000" w:rsidR="00000000" w:rsidRPr="00000000">
        <w:rPr>
          <w:rtl w:val="0"/>
        </w:rPr>
        <w:t xml:space="preserve">JURISDICTION — ORIGINAL, TERRITORIAL, APPELLATE 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&amp; Custody Separate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FCA 1964 s.5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Guardianship &amp; Custody Together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(District Court powers) — FCA 1964 s.5, s.25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s.14; GWA 1890 s.47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 Other Than Parents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FCA 1964 s.5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Restriction (Father Alive &amp; Fit)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FCA 1964 s.5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GWA 1890 s.47; FCA 1964 s.14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Removal/Refusal of Guardian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that appointed/is dealing with the guardian — FCA 1964 s.5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GWA 1890 s.47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Interim Orders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Same Family Court seized of main petition — GWA 1890 s.12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Same as main case — GWA 1890 s.9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Not separately appealable; contested with final order — FCA 1964 s.14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of Minor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— GWA 1890 s.25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ordinary residence — GWA 1890 s.9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GWA 1890 s.47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 of Order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Original: Family Court with continuing jurisdiction — GWA 1890 s.17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Minor's current ordinary residence — GWA 1890 s.9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Court/High Court — FCA 1964 s.14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forum appealed from: Family Court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Appellate forum over that Family Court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Appellate: District Court (if not presided by District/Addl. District Judge) or High Court (if it was) — FCA 1964 s.14; GWA 1890 s.47; limitation ~30 days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