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5nd07mypy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REMEDIES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Initiation of protective proceedings before the Family Court, and/or a parallel criminal complaint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Grant of immediate, temporary protection pending final disposal — Section 15 of the 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order restraining contact, requiring the defendant to stay away, and directing surrender of weapons — Section 16 of the Act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order securing the aggrieved person's right to remain in the shared household — Section 17 of the Act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order for maintenance or compensation in favour of the aggrieved person — Section 18 of the Act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Separate prosecution and potential conviction under the Pakistan Penal Code, 1860, pursued independently of the protective order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Orders granted even in the defendant's absence, ensuring the aggrieved person's protection is not delayed by non-cooperation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Criminal liability — imprisonment and/or fine — for breach of the order, giving it real enforceability beyond a typical civil decree — Section 24 of the Act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Mandatory enforcement assistance from police and the Protection Officer — Section 25 of the Act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Appeal to the Sessions Court/designated appellate forum, generally final, with the High Court's constitutional jurisdiction remaining available as a further avenue — Section 28 of the Act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