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LEGAL REMEDIES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Remedy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decree directing return/recovery of the specific dowry articles, gifts, and jewelry, or their equivalent monetary value where the specific items cannot be traced — Section 5, DMMA 1939.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Enforcement/Execution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the husband/in-laws fail to comply within the period fixed by the Court (not exceeding 30 days), the decree may be executed by the Family Court.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so directed, the decretal amount may be recovered as arrears of land revenue.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Court retains discretion to permit payment in instalments — Section 13(1), (3), (5), FCA 1964.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Appellate Remedy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only where the decretal value exceeds Rs. 100,000, to be pursued before the High Court or District Court depending on the presiding officer of the trial court — Section 14, FCA 1964.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appeal or revision lies against an interim order made during the dowry proceedings — Section 14(3), FCA 1964 — thereby preventing use of interlocutory appeals as a delaying tactic.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