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6tta6i8z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LEGAL REMEDIES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5837320574165"/>
        <w:gridCol w:w="4647.655502392344"/>
        <w:gridCol w:w="3169.760765550239"/>
        <w:tblGridChange w:id="0">
          <w:tblGrid>
            <w:gridCol w:w="1542.5837320574165"/>
            <w:gridCol w:w="4647.655502392344"/>
            <w:gridCol w:w="3169.7607655502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Decree directing the wife to return and resume cohabitation — may be made conditional on payment of outstanding dower/maintenance, or on provision of separate/independent accommodation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s.12; established judicial practice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Dismissal of the husband's suit where a recognised defence is established; counter-claim for dissolution of marriage/khula within the same proceeding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s.9(1b); Dissolution of Muslim Marriages Act, 1939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Husband (alternate route)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Claim restitution within the written statement to the wife's dissolution/maintenance suit, without filing a separate 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s.9(1a)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Wife (post-decree)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Claim maintenance despite an existing restitution decree, where cruelty by the husband or his family is established as the true cause of continued separate residence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Case law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Mst. Ambreen v. Muhammad Kabir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Either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Appeal against the decree or its dismissal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Practical enforcement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mechanism exists to physically compel the wife's return (no arrest or forced production of her person); the decree's real effect operates through possible forfeiture of future maintenance where refusal continues without lawful cause after the husband has discharged his own obligations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s.17 (the CPC's execution machinery for decrees compelling an act other than payment of money, including Order XXI, Rules 32–33, does not automatically apply); established judicial practice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