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74q6hibk4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DOCUMENTS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.750798722045"/>
        <w:gridCol w:w="2412.268370607029"/>
        <w:gridCol w:w="2501.9808306709265"/>
        <w:tblGridChange w:id="0">
          <w:tblGrid>
            <w:gridCol w:w="4445.750798722045"/>
            <w:gridCol w:w="2412.268370607029"/>
            <w:gridCol w:w="2501.9808306709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Plaint (in writing, signed and verified by the plaintiff)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Institutes the 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s.7(1); West Pakistan Family Courts Rules, 1965, Rule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Particulars of marriage (Nikahnama details, date of marriage/rukhsati)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 a valid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s.7(2)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 of the date and circumstances of the wife's departure or refusal of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 the cause of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s.7(2)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Assertion, with supporting proof, that the plaintiff has discharged (or is ready and willing to discharge) his marital obligations, including dower payment/tender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 the plaintiff's own compliance — part of his burden of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s.7(2); case law on burden of proof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of witnesses with a précis of expected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annexure at the plaint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s.7(2)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Nikahnama (copy)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of the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supporting document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 correspondence or legal notice calling the wife to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of demand and cause of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supporting document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of payment or tender of dower (receipt, bank transfer record, or similar)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of discharge of the husband's obligation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supporting document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Written statement with a list of witnesses and précis of evidence (defendant)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Defendant's response, defences, and/or counter-claim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s.9(1)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Affidavit evidence, where permitted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mode of adducing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Family Courts Act, 1964, s.11(4)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statutes:</w:t>
      </w:r>
      <w:r w:rsidDel="00000000" w:rsidR="00000000" w:rsidRPr="00000000">
        <w:rPr>
          <w:rtl w:val="0"/>
        </w:rPr>
        <w:t xml:space="preserve"> West Pakistan Family Courts Act, 1964 (as amended); West Pakistan Muslim Personal Law (Shariat) Application Act, 1962; Muslim Family Laws Ordinance, 1961; Dissolution of Muslim Marriages Act, 1939; Limitation Act, 1908; West Pakistan Family Courts Rules, 1965.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Points requiring current verification before filing:</w:t>
      </w:r>
      <w:r w:rsidDel="00000000" w:rsidR="00000000" w:rsidRPr="00000000">
        <w:rPr>
          <w:rtl w:val="0"/>
        </w:rPr>
        <w:t xml:space="preserve"> the precise limitation article governing institution of a restitution suit, and the current appellate position on a wife's right to withhold cohabitation for unpaid prompt dower after consummation.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