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gdt6y79xmmcs" w:id="0"/>
      <w:bookmarkEnd w:id="0"/>
      <w:r w:rsidDel="00000000" w:rsidR="00000000" w:rsidRPr="00000000">
        <w:rPr>
          <w:rtl w:val="0"/>
        </w:rPr>
        <w:t xml:space="preserve">RIGHTS AND RESPONSIBILITIES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.627615062762"/>
        <w:gridCol w:w="2677.7824267782426"/>
        <w:gridCol w:w="2633.7238493723853"/>
        <w:gridCol w:w="1737.866108786611"/>
        <w:tblGridChange w:id="0">
          <w:tblGrid>
            <w:gridCol w:w="2310.627615062762"/>
            <w:gridCol w:w="2677.7824267782426"/>
            <w:gridCol w:w="2633.7238493723853"/>
            <w:gridCol w:w="1737.8661087866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Father (natural guardian)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Recognized as natural guardian of person/property; cannot be displaced merely by another applying, while alive and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Must not neglect or harm minor; must act in minor's best interest (fiduciary duty)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Muslim Personal Law; GWA 1890 s.19; s.17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Mother (custodian, if separate)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Physical custody and daily-care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Daily care, education, health, emotional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GWA 1890 s.17 (welfare)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Court-appointed guardian (non-parent)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Legal authority over minor's person/property once appointed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Must prove suitability; act only in minor's welfare; manage property carefully and only for minor's 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GWA 1890 s.7, s.8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Guardian (general)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Right to represent minor in legal matters; make decisions on health, education, welfare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Fiduciary duty — cannot act in own interest against minor's; subject to Court's supervision and removal if unfit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GWA 1890 s.7 (nature of guardianship as duty)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Minor (if mature)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Right to have preference heard (not binding)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GWA 1890 s.17(3)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Any interested relative/applicant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Right to apply for guardianship or removal of unsuitable guardian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Must prove standing and that appointment serves minor's welfare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GWA 1890 s.8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Respondent/existing guardian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Right to contest petition, raise objections, be heard before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Must respond to notice; produce minor if court so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GWA 1890 s.11, s.12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