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7lwn92r2m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RIGHTS AND RESPONSIBILITIES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Pure Khula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Wife's absolute right to Khula on expressing inability to live within limits of Allah — Muslim Personal Law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cannot compel wife to continue marriage — Section 10(3), FCA 1964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Wife retains right to dowry articles regardless of dissolution — Section 5, DMMA 1939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Fault-Based Dissolution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 must prove the specific fault ground pleaded — Section 2, DMMA 1939, read with Section 11, FCA 1964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 may rebut allegations or claim restitution of Haq Mehr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Recovery of Haq Mehr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Husband at fault: wife retains 100% of prompt and deferred dower — Section 10(5)-(6), FCA 1964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fault/pure Khula: restitution of prompt dower, forfeiture of deferred dower — PLD 2022 FSC 25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forfeiture of dower is impermissible; must be fault-based — PLD 2022 FSC 25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Recovery of Dowry Articles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Wife's right to dowry articles is absolute and unaffected by Khula — Section 5, DMMA 1939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Maintenance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 and children's right to interim maintenance from first appearance — Section 17A(1), FCA 1964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Husband's defence may be struck off for default in payment — Section 17A, FCA 1964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Child Custody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Family Court exercises District Court powers under Guardians and Wards Act, 1890 — Section 25, FCA 1964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Execution / Iddat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Union Council Chairman constitutes Arbitration Council for final reconciliation attempt — Section 7, MFLO 1961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Marriage finally dissolved for law/NADRA purposes only after Certificate of Effectiveness — Section 7, MFLO 1961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Appeal on Ancillary Matters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Decree of dissolution/Khula is non-appealable — Section 14(2)(a), FCA 1964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ancillary matters are appealable — Section 14, FCA 1964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