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71dqk3q5r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 AND RESPONSIBILITIES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Wife's Claim During Subsisting Marriage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Wife's right to be maintained by the husband during subsisting wedlock — Muslim Personal Law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 to plead and prove the husband's refusal and his income/assets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Mother/Guardian's Claim for Minor Children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Father's primary responsibility to maintain minor children — Muslim Personal Law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Mother/guardian's right to sue on the children's behalf, jointly with her own claim — Section 7, FCA 1964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Arrears of Maintenance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Wife's right to recover unpaid maintenance for the period preceding the suit, subject to the practical 3-year limit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Fixation of Interim Maintenance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 and children's right to interim maintenance from the very first date of appearance — Section 17A(1), FCA 1964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Court's responsibility to fix this without waiting for full trial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Default in Payment of Interim Maintenance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Defendant's strict responsibility to pay on time; default results in defence being struck off and the suit being decreed against him — Section 17A(1), FCA 1964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Enhancement / Statutory Annual Increase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Court's power to award more than claimed and to order annual increase — Section 17A(2), FCA 1964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Plaintiffs' statutory right to automatic 15% annual increase where the decree is silent — Section 17A(3), FCA 1964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Alternate Remedy via Arbitration Council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Wife's option to approach the Arbitration Council under Section 9, MFLO 1961, without being barred from also suing before the Family Court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Execution of Decree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Defendant's responsibility to comply within 30 days; coercive measures available for wilful default — Section 13, FCA 1964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Appeal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 of appeal restricted to cases where monthly maintenance exceeds Rs. 10,000 — Section 14, FCA 1964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right of appeal against interim maintenance orders — Section 17A(1), FCA 1964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