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/>
      </w:pPr>
      <w:bookmarkStart w:colFirst="0" w:colLast="0" w:name="_70q6ovfyip58" w:id="0"/>
      <w:bookmarkEnd w:id="0"/>
      <w:r w:rsidDel="00000000" w:rsidR="00000000" w:rsidRPr="00000000">
        <w:rPr>
          <w:rtl w:val="0"/>
        </w:rPr>
        <w:t xml:space="preserve">RIGHTS AND RESPONSIBILITIES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2.226296490309"/>
        <w:gridCol w:w="3388.035620743845"/>
        <w:gridCol w:w="2843.7925615505496"/>
        <w:gridCol w:w="1975.9455212152961"/>
        <w:tblGridChange w:id="0">
          <w:tblGrid>
            <w:gridCol w:w="1152.226296490309"/>
            <w:gridCol w:w="3388.035620743845"/>
            <w:gridCol w:w="2843.7925615505496"/>
            <w:gridCol w:w="1975.94552121529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Right to demand and recover prompt dower anytime during marriage; right to deferred dower on divorce/death; right to dower even after dissolution/khula (unless validly waived)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Must prove marriage, agreed amount, and non-payment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MFLO 1961 s.10; Dissolution of Muslim Marriages Act 1939 s.5; FCA 1964 s.11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Husband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Right to raise defences (payment, waiver, limitation, prematurity)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Must pay agreed dower per Nikahnama terms; once wife proves claim, must establish payment/discharge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FCA 1964 s.9; MFLO 1961 s.10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Both parties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Right to reconciliation attempt before trial; right to cross-examine witnesses; right of appeal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Must attend proceedings, file pleadings/evidence within court-fixed timelines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FCA 1964 s.10(3), s.11, s.14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Wife (post-decree)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Right to execute decree if husband doesn't 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FCA 1964 s.13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