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jnat7v5vs5ht" w:id="0"/>
      <w:bookmarkEnd w:id="0"/>
      <w:r w:rsidDel="00000000" w:rsidR="00000000" w:rsidRPr="00000000">
        <w:rPr>
          <w:rtl w:val="0"/>
        </w:rPr>
        <w:t xml:space="preserve">RIGHTS AND RESPONSIBILITIES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8.8528025144055"/>
        <w:gridCol w:w="2887.920377160817"/>
        <w:gridCol w:w="3005.5945521215294"/>
        <w:gridCol w:w="1637.6322682032478"/>
        <w:tblGridChange w:id="0">
          <w:tblGrid>
            <w:gridCol w:w="1828.8528025144055"/>
            <w:gridCol w:w="2887.920377160817"/>
            <w:gridCol w:w="3005.5945521215294"/>
            <w:gridCol w:w="1637.63226820324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Mother (custodian)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Preferential Hizanat right for young child; day-to-day decision on routine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Daily care, food, education, safety, emotional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Muslim Personal Law; GWA 1890 s.17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Father (guardian)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Legal authority over major decisions (education, property, travel) even without custody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Must not obstruct custodian; must financially maintain the 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GWA 1890 s.7; Muslim Personal Law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Non-custodial 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Right to visitation/access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Must not interfere with custodian's daily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GWA 1890 s.12 (interim visitation)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Custodian (any person)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Right to retain custody unless welfare requires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Must produce child if court orders; cannot remove child from jurisdiction without 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GWA 1890 s.12, s.25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Minor (if mature)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Right to have preference heard (not binding)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GWA 1890 s.17(3)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Relative/third-party applicant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Right to apply if interested in welfare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Must prove standing and suitability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GWA 1890 s.8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