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3kws4o25fu0g" w:id="0"/>
      <w:bookmarkEnd w:id="0"/>
      <w:r w:rsidDel="00000000" w:rsidR="00000000" w:rsidRPr="00000000">
        <w:rPr>
          <w:rtl w:val="0"/>
        </w:rPr>
        <w:t xml:space="preserve">Rights and Responsibilities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9.7841726618706"/>
        <w:gridCol w:w="1750.7913669064749"/>
        <w:gridCol w:w="2226.968139773895"/>
        <w:gridCol w:w="2342.4049331963"/>
        <w:gridCol w:w="1390.0513874614594"/>
        <w:tblGridChange w:id="0">
          <w:tblGrid>
            <w:gridCol w:w="1649.7841726618706"/>
            <w:gridCol w:w="1750.7913669064749"/>
            <w:gridCol w:w="2226.968139773895"/>
            <w:gridCol w:w="2342.4049331963"/>
            <w:gridCol w:w="1390.051387461459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Standard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Fully Compliant Talaq Procedure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Husband: right to pronounce Talaq. Wife: right to receive notice and contest before Arbitration Council. Chairman: right/duty to constitute Arbitration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Husband: must give written notice to Chairman + wife immediately after pronouncement. Chairman: must constitute Arbitration Council within 30 days and issue certificate after 90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S.7(1)(3)(4), MFLO 1961; Rule 3, MFL Rules 1961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Successful Reconciliation via Arbitration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Both spouses: right to reconcile and continue marriage without a fresh Nikah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Arbitration Council: duty to genuinely attempt reconciliation, not merely a formality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Rules 5–6, MFL Rules 1961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Express/Implied Revocation by Husband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Husband: right to revoke Talaq any time before 90 days, expressly or by resuming conjugal relations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Husband: must communicate revocation to Chairman to update/stop the certificate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S.7(3), MFLO 1961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Procedural Non-Compliance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Pronouncement Without Written 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treat Talaq as legally ineffective/contested until proper notice given; right to lodge criminal 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Husband: statutory duty to give notice — failure is a punishable offence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S.7(1)(2), MFLO 1961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Failure to Serve Copy of Notice to Wife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challenge validity of the process and claim maintenance/Iddat rights unaffected by the defect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Chairman/husband: responsibility to ensure wife actually receives her copy of 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S.7(1), MFLO 1961; Rule 3, MFL Rules 1961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Failure/Delay in Constituting Arbitration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Parties: right to seek constitutional remedy (writ) to compel Chairman to 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Chairman: statutory duty to constitute the Council promptly upon receiving 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S.7(4), MFLO 1961; Article 199, Constitution 1973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Pregnancy &amp; Special Time-Frame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Divorce Pronounced While Wife is Pregnant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extended Iddat/maintenance until delivery or termination of pregnancy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Wife: responsibility to inform/prove pregnancy to Chairman; husband: continues maintenance obligation through extended Iddat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S.7(5), MFLO 1961; Rule 3, MFL Rules 1961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Divorce Finalized Prior to Knowledge of Pregnancy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have effective date adjusted once pregnancy is discovered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Both parties: responsibility to promptly notify Chairman/court once pregnancy becomes 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S.7(5), MFLO 1961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Delegated &amp; Alternative Dissolution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Talaq-e-Tafweez (Delegated Right by Wife)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pronounce Talaq on husband's behalf per Nikahnama delegation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Wife: responsibility to follow same notice procedure as husband would (S.7 notice cycle)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Col. 18, Nikahnama; S.8 r/w S.7, MFLO 1961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Judicial Khula / Dissolution via Family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seek dissolution through court when delegated right absent/refused, upon offering to return dower/benefits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Wife: responsibility to establish grounds/impossibility of continuing marriage in good faith; Family Court: duty to attempt reconciliation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S.10(3)(4), FCA 1964; DMMA 1939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Financial &amp; Post-Divorce Disputes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Recovery of Unpaid Dower (Haq Mehr)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demand prompt dower immediately, deferred dower on dissolution/death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Husband: responsibility to pay dower as agreed in Nikahnama or per custom if unspecified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S.10, MFLO 1961; Contract Act 1872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Claim for Past &amp; Iddat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maintenance for the marriage period and through Iddat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Husband: responsibility to pay maintenance without needing a court order to trigger the obligation; Family Court: duty to grant interim maintenance during suit 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S.9, MFLO 1961; S.17A, FCA 1964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Custody &amp; Guardianship Disputes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Mother: right to custody (Hizanat) of young children per Islamic law principles as applied by courts; father: right to guardianship of property/person subject to welfare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Both parents: responsibility to act in the welfare of the minor as the paramount consideration, overriding either parent's personal preference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GWA 1890; S.5, Sch. Item 5, FCA 1964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custody rights in particular (Hizanat) are shaped heavily by uncodified classical Islamic law principles as interpreted through Pakistani case law, not just the GWA 1890 text — so the "right" isn't spelled out as cleanly in statute as, say, the dower provisions are.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