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8tufgmvf33bw" w:id="0"/>
      <w:bookmarkEnd w:id="0"/>
      <w:r w:rsidDel="00000000" w:rsidR="00000000" w:rsidRPr="00000000">
        <w:rPr>
          <w:rtl w:val="0"/>
        </w:rPr>
        <w:t xml:space="preserve"> SCENARIOS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 of Prompt Dower (Mu'ajjal) During Subsistence of Marriage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of Deferred Dower (Mu'wajjal) After Divorce or Husband's Death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Dower Claim After Dissolution of Marriage under Dissolution of Muslim Marriages Act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Dower Claim After Khula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Husband's Defence — Dower Already Paid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Husband's Defence — Waiver/Remission (Hibbat-e-Mehr)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Dower Not Yet Due (Premature Claim)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of Decree Where Husband Fails to Pay Voluntarily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Against Judgment/Decree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