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a1bmtqhrw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joined with a dissolution suit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dowry claim is adjudicated together with the main suit.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entire suit, including the dowry component, must be disposed of within </w:t>
      </w:r>
      <w:r w:rsidDel="00000000" w:rsidR="00000000" w:rsidRPr="00000000">
        <w:rPr>
          <w:b w:val="1"/>
          <w:bCs w:val="1"/>
          <w:rtl w:val="0"/>
        </w:rPr>
        <w:t xml:space="preserve">6 months</w:t>
      </w:r>
      <w:r w:rsidDel="00000000" w:rsidR="00000000" w:rsidRPr="00000000">
        <w:rPr>
          <w:rtl w:val="0"/>
        </w:rPr>
        <w:t xml:space="preserve"> of institution — Section 12A, FCA 1964.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this period lapses without disposal, either party may approach the High Court for appropriate directions to expedite the matter.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filed as a standalone suit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general procedural timeline under the Family Courts Act applies: appearance of defendant within 15 days, written statement filed on the same date, followed by evidence and judgment, all within the overall 6-month period.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Appeal (only where the Rs. 100,000 threshold is exceeded)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be filed within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 — Section 14, FCA 1964, read with Article 155, Limitation Act, 1908.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appellate court is itself statutorily bound to dispose of the appeal within </w:t>
      </w:r>
      <w:r w:rsidDel="00000000" w:rsidR="00000000" w:rsidRPr="00000000">
        <w:rPr>
          <w:b w:val="1"/>
          <w:bCs w:val="1"/>
          <w:rtl w:val="0"/>
        </w:rPr>
        <w:t xml:space="preserve">4 months</w:t>
      </w:r>
      <w:r w:rsidDel="00000000" w:rsidR="00000000" w:rsidRPr="00000000">
        <w:rPr>
          <w:rtl w:val="0"/>
        </w:rPr>
        <w:t xml:space="preserve"> — Section 14(4), FCA 1964.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dual timeline reflects a legislative intent to prevent prolonged litigation over dowry disputes.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