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b w:val="1"/>
          <w:bCs w:val="1"/>
          <w:u w:val="single"/>
        </w:rPr>
      </w:pPr>
      <w:bookmarkStart w:colFirst="0" w:colLast="0" w:name="_ig9tdiy5bqys" w:id="0"/>
      <w:bookmarkEnd w:id="0"/>
      <w:r w:rsidDel="00000000" w:rsidR="00000000" w:rsidRPr="00000000">
        <w:rPr>
          <w:u w:val="single"/>
          <w:rtl w:val="0"/>
        </w:rPr>
        <w:t xml:space="preserve">CIVIL PROCEDURE</w:t>
      </w:r>
      <w:r w:rsidDel="00000000" w:rsidR="00000000" w:rsidRPr="00000000">
        <w:rPr>
          <w:rtl w:val="0"/>
        </w:rPr>
      </w:r>
    </w:p>
    <w:p w:rsidR="00000000" w:rsidDel="00000000" w:rsidP="00000000" w:rsidRDefault="00000000" w:rsidRPr="00000000" w14:paraId="00000003">
      <w:pPr>
        <w:pStyle w:val="Subtitle"/>
        <w:rPr/>
      </w:pPr>
      <w:bookmarkStart w:colFirst="0" w:colLast="0" w:name="_u1j8mi7w2ou2" w:id="1"/>
      <w:bookmarkEnd w:id="1"/>
      <w:r w:rsidDel="00000000" w:rsidR="00000000" w:rsidRPr="00000000">
        <w:rPr>
          <w:rtl w:val="0"/>
        </w:rPr>
        <w:t xml:space="preserve">Child Custody (Hizanat) Proceedings Before the Family Court in Pakistan</w:t>
      </w:r>
    </w:p>
    <w:p w:rsidR="00000000" w:rsidDel="00000000" w:rsidP="00000000" w:rsidRDefault="00000000" w:rsidRPr="00000000" w14:paraId="00000004">
      <w:pPr>
        <w:pStyle w:val="Heading1"/>
        <w:rPr/>
      </w:pPr>
      <w:bookmarkStart w:colFirst="0" w:colLast="0" w:name="_yeef3yopjj95" w:id="2"/>
      <w:bookmarkEnd w:id="2"/>
      <w:r w:rsidDel="00000000" w:rsidR="00000000" w:rsidRPr="00000000">
        <w:rPr>
          <w:rtl w:val="0"/>
        </w:rPr>
        <w:t xml:space="preserve">                               Table OF Contents                  </w:t>
      </w:r>
    </w:p>
    <w:p w:rsidR="00000000" w:rsidDel="00000000" w:rsidP="00000000" w:rsidRDefault="00000000" w:rsidRPr="00000000" w14:paraId="00000005">
      <w:pPr>
        <w:pStyle w:val="Heading2"/>
        <w:rPr/>
      </w:pPr>
      <w:bookmarkStart w:colFirst="0" w:colLast="0" w:name="_so8b208otg6v" w:id="3"/>
      <w:bookmarkEnd w:id="3"/>
      <w:r w:rsidDel="00000000" w:rsidR="00000000" w:rsidRPr="00000000">
        <w:rPr>
          <w:rtl w:val="0"/>
        </w:rPr>
        <w:t xml:space="preserve">1. PRE-SUIT STAGE</w:t>
      </w:r>
    </w:p>
    <w:p w:rsidR="00000000" w:rsidDel="00000000" w:rsidP="00000000" w:rsidRDefault="00000000" w:rsidRPr="00000000" w14:paraId="00000006">
      <w:pPr>
        <w:pStyle w:val="Heading3"/>
        <w:rPr/>
      </w:pPr>
      <w:bookmarkStart w:colFirst="0" w:colLast="0" w:name="_2cbiisd9sai2" w:id="4"/>
      <w:bookmarkEnd w:id="4"/>
      <w:r w:rsidDel="00000000" w:rsidR="00000000" w:rsidRPr="00000000">
        <w:rPr>
          <w:rtl w:val="0"/>
        </w:rPr>
        <w:t xml:space="preserve">   1.1 Legal Notice</w:t>
      </w:r>
    </w:p>
    <w:p w:rsidR="00000000" w:rsidDel="00000000" w:rsidP="00000000" w:rsidRDefault="00000000" w:rsidRPr="00000000" w14:paraId="00000007">
      <w:pPr>
        <w:pStyle w:val="Heading3"/>
        <w:rPr/>
      </w:pPr>
      <w:bookmarkStart w:colFirst="0" w:colLast="0" w:name="_6h05hx8ip2mh" w:id="5"/>
      <w:bookmarkEnd w:id="5"/>
      <w:r w:rsidDel="00000000" w:rsidR="00000000" w:rsidRPr="00000000">
        <w:rPr>
          <w:rtl w:val="0"/>
        </w:rPr>
        <w:t xml:space="preserve">   1.2 Limitation Period</w:t>
      </w:r>
    </w:p>
    <w:p w:rsidR="00000000" w:rsidDel="00000000" w:rsidP="00000000" w:rsidRDefault="00000000" w:rsidRPr="00000000" w14:paraId="00000008">
      <w:pPr>
        <w:pStyle w:val="Heading3"/>
        <w:rPr/>
      </w:pPr>
      <w:bookmarkStart w:colFirst="0" w:colLast="0" w:name="_g4c607714lf8" w:id="6"/>
      <w:bookmarkEnd w:id="6"/>
      <w:r w:rsidDel="00000000" w:rsidR="00000000" w:rsidRPr="00000000">
        <w:rPr>
          <w:rtl w:val="0"/>
        </w:rPr>
      </w:r>
    </w:p>
    <w:p w:rsidR="00000000" w:rsidDel="00000000" w:rsidP="00000000" w:rsidRDefault="00000000" w:rsidRPr="00000000" w14:paraId="00000009">
      <w:pPr>
        <w:pStyle w:val="Heading2"/>
        <w:rPr/>
      </w:pPr>
      <w:bookmarkStart w:colFirst="0" w:colLast="0" w:name="_97oj766iu5nf" w:id="7"/>
      <w:bookmarkEnd w:id="7"/>
      <w:r w:rsidDel="00000000" w:rsidR="00000000" w:rsidRPr="00000000">
        <w:rPr>
          <w:rtl w:val="0"/>
        </w:rPr>
        <w:t xml:space="preserve">2. PRE-TRIAL STAGE</w:t>
      </w:r>
    </w:p>
    <w:p w:rsidR="00000000" w:rsidDel="00000000" w:rsidP="00000000" w:rsidRDefault="00000000" w:rsidRPr="00000000" w14:paraId="0000000A">
      <w:pPr>
        <w:pStyle w:val="Heading3"/>
        <w:rPr/>
      </w:pPr>
      <w:bookmarkStart w:colFirst="0" w:colLast="0" w:name="_u7heq0ylqfnm" w:id="8"/>
      <w:bookmarkEnd w:id="8"/>
      <w:r w:rsidDel="00000000" w:rsidR="00000000" w:rsidRPr="00000000">
        <w:rPr>
          <w:rtl w:val="0"/>
        </w:rPr>
        <w:t xml:space="preserve">   2.1 Plaint [Custody Petition]</w:t>
      </w:r>
    </w:p>
    <w:p w:rsidR="00000000" w:rsidDel="00000000" w:rsidP="00000000" w:rsidRDefault="00000000" w:rsidRPr="00000000" w14:paraId="0000000B">
      <w:pPr>
        <w:pStyle w:val="Heading3"/>
        <w:rPr/>
      </w:pPr>
      <w:bookmarkStart w:colFirst="0" w:colLast="0" w:name="_x2qv606sss26" w:id="9"/>
      <w:bookmarkEnd w:id="9"/>
      <w:r w:rsidDel="00000000" w:rsidR="00000000" w:rsidRPr="00000000">
        <w:rPr>
          <w:rtl w:val="0"/>
        </w:rPr>
        <w:t xml:space="preserve">   2.2 Written Statement</w:t>
      </w:r>
    </w:p>
    <w:p w:rsidR="00000000" w:rsidDel="00000000" w:rsidP="00000000" w:rsidRDefault="00000000" w:rsidRPr="00000000" w14:paraId="0000000C">
      <w:pPr>
        <w:pStyle w:val="Heading3"/>
        <w:rPr/>
      </w:pPr>
      <w:bookmarkStart w:colFirst="0" w:colLast="0" w:name="_475wkredvg4l" w:id="10"/>
      <w:bookmarkEnd w:id="10"/>
      <w:r w:rsidDel="00000000" w:rsidR="00000000" w:rsidRPr="00000000">
        <w:rPr>
          <w:rtl w:val="0"/>
        </w:rPr>
        <w:t xml:space="preserve">   2.3 Settlement Efforts </w:t>
      </w:r>
    </w:p>
    <w:p w:rsidR="00000000" w:rsidDel="00000000" w:rsidP="00000000" w:rsidRDefault="00000000" w:rsidRPr="00000000" w14:paraId="0000000D">
      <w:pPr>
        <w:pStyle w:val="Heading3"/>
        <w:rPr/>
      </w:pPr>
      <w:bookmarkStart w:colFirst="0" w:colLast="0" w:name="_bi9ufzacn9rg" w:id="11"/>
      <w:bookmarkEnd w:id="11"/>
      <w:r w:rsidDel="00000000" w:rsidR="00000000" w:rsidRPr="00000000">
        <w:rPr>
          <w:rtl w:val="0"/>
        </w:rPr>
        <w:t xml:space="preserve">   2.4 Framing of Issues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bookmarkStart w:colFirst="0" w:colLast="0" w:name="_bm279cm35sp8" w:id="12"/>
      <w:bookmarkEnd w:id="12"/>
      <w:r w:rsidDel="00000000" w:rsidR="00000000" w:rsidRPr="00000000">
        <w:rPr>
          <w:rtl w:val="0"/>
        </w:rPr>
        <w:t xml:space="preserve">3. TRIAL</w:t>
      </w:r>
    </w:p>
    <w:p w:rsidR="00000000" w:rsidDel="00000000" w:rsidP="00000000" w:rsidRDefault="00000000" w:rsidRPr="00000000" w14:paraId="00000010">
      <w:pPr>
        <w:pStyle w:val="Heading3"/>
        <w:rPr/>
      </w:pPr>
      <w:bookmarkStart w:colFirst="0" w:colLast="0" w:name="_37iv0kbx09cz" w:id="13"/>
      <w:bookmarkEnd w:id="13"/>
      <w:r w:rsidDel="00000000" w:rsidR="00000000" w:rsidRPr="00000000">
        <w:rPr>
          <w:rtl w:val="0"/>
        </w:rPr>
        <w:t xml:space="preserve">   3.1 Presentation of Evidence</w:t>
      </w:r>
    </w:p>
    <w:p w:rsidR="00000000" w:rsidDel="00000000" w:rsidP="00000000" w:rsidRDefault="00000000" w:rsidRPr="00000000" w14:paraId="00000011">
      <w:pPr>
        <w:rPr/>
      </w:pPr>
      <w:r w:rsidDel="00000000" w:rsidR="00000000" w:rsidRPr="00000000">
        <w:rPr>
          <w:rtl w:val="0"/>
        </w:rPr>
        <w:t xml:space="preserve">       3.1.1 Applicant’s Evidence and Cross-Examination</w:t>
      </w:r>
    </w:p>
    <w:p w:rsidR="00000000" w:rsidDel="00000000" w:rsidP="00000000" w:rsidRDefault="00000000" w:rsidRPr="00000000" w14:paraId="00000012">
      <w:pPr>
        <w:rPr/>
      </w:pPr>
      <w:r w:rsidDel="00000000" w:rsidR="00000000" w:rsidRPr="00000000">
        <w:rPr>
          <w:rtl w:val="0"/>
        </w:rPr>
        <w:t xml:space="preserve">       3.1.2 Respondent’s Evidence and Cross-Examination</w:t>
      </w:r>
    </w:p>
    <w:p w:rsidR="00000000" w:rsidDel="00000000" w:rsidP="00000000" w:rsidRDefault="00000000" w:rsidRPr="00000000" w14:paraId="00000013">
      <w:pPr>
        <w:pStyle w:val="Heading3"/>
        <w:rPr/>
      </w:pPr>
      <w:bookmarkStart w:colFirst="0" w:colLast="0" w:name="_kqoov3du1mp9" w:id="14"/>
      <w:bookmarkEnd w:id="14"/>
      <w:r w:rsidDel="00000000" w:rsidR="00000000" w:rsidRPr="00000000">
        <w:rPr>
          <w:rtl w:val="0"/>
        </w:rPr>
        <w:t xml:space="preserve">   3.2 Final Arguments</w:t>
      </w:r>
    </w:p>
    <w:p w:rsidR="00000000" w:rsidDel="00000000" w:rsidP="00000000" w:rsidRDefault="00000000" w:rsidRPr="00000000" w14:paraId="00000014">
      <w:pPr>
        <w:pStyle w:val="Heading3"/>
        <w:rPr/>
      </w:pPr>
      <w:bookmarkStart w:colFirst="0" w:colLast="0" w:name="_t2hw079nxpsz" w:id="15"/>
      <w:bookmarkEnd w:id="15"/>
      <w:r w:rsidDel="00000000" w:rsidR="00000000" w:rsidRPr="00000000">
        <w:rPr>
          <w:rtl w:val="0"/>
        </w:rPr>
        <w:t xml:space="preserve">   3.3 Judgment and Decree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ibb42du4zbmq" w:id="16"/>
      <w:bookmarkEnd w:id="16"/>
      <w:r w:rsidDel="00000000" w:rsidR="00000000" w:rsidRPr="00000000">
        <w:rPr>
          <w:rtl w:val="0"/>
        </w:rPr>
        <w:t xml:space="preserve">4. POST-TRIAL</w:t>
      </w:r>
    </w:p>
    <w:p w:rsidR="00000000" w:rsidDel="00000000" w:rsidP="00000000" w:rsidRDefault="00000000" w:rsidRPr="00000000" w14:paraId="00000017">
      <w:pPr>
        <w:pStyle w:val="Heading3"/>
        <w:rPr/>
      </w:pPr>
      <w:bookmarkStart w:colFirst="0" w:colLast="0" w:name="_u4qki945ercq" w:id="17"/>
      <w:bookmarkEnd w:id="17"/>
      <w:r w:rsidDel="00000000" w:rsidR="00000000" w:rsidRPr="00000000">
        <w:rPr>
          <w:rtl w:val="0"/>
        </w:rPr>
        <w:t xml:space="preserve">   4.1 Execution</w:t>
      </w:r>
    </w:p>
    <w:p w:rsidR="00000000" w:rsidDel="00000000" w:rsidP="00000000" w:rsidRDefault="00000000" w:rsidRPr="00000000" w14:paraId="00000018">
      <w:pPr>
        <w:pStyle w:val="Heading3"/>
        <w:rPr/>
      </w:pPr>
      <w:bookmarkStart w:colFirst="0" w:colLast="0" w:name="_su7s8tyc99q1" w:id="18"/>
      <w:bookmarkEnd w:id="18"/>
      <w:r w:rsidDel="00000000" w:rsidR="00000000" w:rsidRPr="00000000">
        <w:rPr>
          <w:rtl w:val="0"/>
        </w:rPr>
        <w:t xml:space="preserve">   4.2 Appeal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bookmarkStart w:colFirst="0" w:colLast="0" w:name="_w84uq0kbhybz" w:id="19"/>
      <w:bookmarkEnd w:id="19"/>
      <w:r w:rsidDel="00000000" w:rsidR="00000000" w:rsidRPr="00000000">
        <w:rPr>
          <w:rtl w:val="0"/>
        </w:rPr>
        <w:t xml:space="preserve">GOVERNING LEGISLATION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Family Courts Act, 1964</w:t>
      </w:r>
    </w:p>
    <w:p w:rsidR="00000000" w:rsidDel="00000000" w:rsidP="00000000" w:rsidRDefault="00000000" w:rsidRPr="00000000" w14:paraId="0000001E">
      <w:pPr>
        <w:rPr/>
      </w:pPr>
      <w:r w:rsidDel="00000000" w:rsidR="00000000" w:rsidRPr="00000000">
        <w:rPr>
          <w:rtl w:val="0"/>
        </w:rPr>
        <w:t xml:space="preserve">Sec. 5 [Exclusive Jurisdiction], Sec. 9 [Appearance / Written Statement], Sec. 10[3-4] [Settlement &amp; Framing of Issues], Sec. 11, Sec. 14, Sec. 25 [Powers of District Court under GWA][Evidence][Appeal]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Guardians and Wards Act, 1890</w:t>
      </w:r>
    </w:p>
    <w:p w:rsidR="00000000" w:rsidDel="00000000" w:rsidP="00000000" w:rsidRDefault="00000000" w:rsidRPr="00000000" w14:paraId="00000021">
      <w:pPr>
        <w:rPr/>
      </w:pPr>
      <w:r w:rsidDel="00000000" w:rsidR="00000000" w:rsidRPr="00000000">
        <w:rPr>
          <w:rtl w:val="0"/>
        </w:rPr>
        <w:t xml:space="preserve">Sec. 7-10 [Appointment, Jurisdiction, Contents of Application], Sec. 12 [Interim Orders], Sec. 17 [Welfare Principle &amp; Minor’s Preference], Sec. 25 [Return of Ward], Sec. 47[Appeal]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pPr>
      <w:bookmarkStart w:colFirst="0" w:colLast="0" w:name="_3c9b3t2e6hby" w:id="20"/>
      <w:bookmarkEnd w:id="20"/>
      <w:r w:rsidDel="00000000" w:rsidR="00000000" w:rsidRPr="00000000">
        <w:rPr>
          <w:rtl w:val="0"/>
        </w:rPr>
        <w:t xml:space="preserve">1. PRE-SUIT STAGE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rPr/>
      </w:pPr>
      <w:bookmarkStart w:colFirst="0" w:colLast="0" w:name="_vbamhhohzkcr" w:id="21"/>
      <w:bookmarkEnd w:id="21"/>
      <w:r w:rsidDel="00000000" w:rsidR="00000000" w:rsidRPr="00000000">
        <w:rPr>
          <w:rtl w:val="0"/>
        </w:rPr>
        <w:t xml:space="preserve">    1.1 Legal Notice</w:t>
      </w:r>
    </w:p>
    <w:p w:rsidR="00000000" w:rsidDel="00000000" w:rsidP="00000000" w:rsidRDefault="00000000" w:rsidRPr="00000000" w14:paraId="00000028">
      <w:pPr>
        <w:rPr/>
      </w:pPr>
      <w:r w:rsidDel="00000000" w:rsidR="00000000" w:rsidRPr="00000000">
        <w:rPr>
          <w:rtl w:val="0"/>
        </w:rPr>
        <w:t xml:space="preserve">No statutory requirement exists under the Family Courts Act, 1964 or the Guardians and Wards Act, 1890 to serve a prior legal notice. A custody petition may be instituted directly under Sec. 5, FCA 1964 read with Sec. 8 and 10, GWA 1890.</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rPr/>
      </w:pPr>
      <w:bookmarkStart w:colFirst="0" w:colLast="0" w:name="_bvytz9vwqihj" w:id="22"/>
      <w:bookmarkEnd w:id="22"/>
      <w:r w:rsidDel="00000000" w:rsidR="00000000" w:rsidRPr="00000000">
        <w:rPr>
          <w:rtl w:val="0"/>
        </w:rPr>
        <w:t xml:space="preserve">      1.2 Limitation Period</w:t>
      </w:r>
    </w:p>
    <w:p w:rsidR="00000000" w:rsidDel="00000000" w:rsidP="00000000" w:rsidRDefault="00000000" w:rsidRPr="00000000" w14:paraId="0000002B">
      <w:pPr>
        <w:rPr/>
      </w:pPr>
      <w:r w:rsidDel="00000000" w:rsidR="00000000" w:rsidRPr="00000000">
        <w:rPr>
          <w:rtl w:val="0"/>
        </w:rPr>
        <w:t xml:space="preserve">No limitation period under the Limitation Act, 1908 applies to the institution of a custody petition. Custody is a continuing matter tied to the welfare of the minor. Delay does not bar the remedy. The order remains subject to modification upon change of circumstances.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rPr/>
      </w:pPr>
      <w:bookmarkStart w:colFirst="0" w:colLast="0" w:name="_o0jd7tyszzsy" w:id="23"/>
      <w:bookmarkEnd w:id="23"/>
      <w:r w:rsidDel="00000000" w:rsidR="00000000" w:rsidRPr="00000000">
        <w:rPr>
          <w:rtl w:val="0"/>
        </w:rPr>
        <w:t xml:space="preserve">2. PRE-TRIAL STAGE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rPr/>
      </w:pPr>
      <w:bookmarkStart w:colFirst="0" w:colLast="0" w:name="_7gp2bjp9nd9g" w:id="24"/>
      <w:bookmarkEnd w:id="24"/>
      <w:r w:rsidDel="00000000" w:rsidR="00000000" w:rsidRPr="00000000">
        <w:rPr>
          <w:rtl w:val="0"/>
        </w:rPr>
        <w:t xml:space="preserve">   2.1 Plaint [Custody Petition]</w:t>
      </w:r>
    </w:p>
    <w:p w:rsidR="00000000" w:rsidDel="00000000" w:rsidP="00000000" w:rsidRDefault="00000000" w:rsidRPr="00000000" w14:paraId="00000031">
      <w:pPr>
        <w:rPr/>
      </w:pPr>
      <w:r w:rsidDel="00000000" w:rsidR="00000000" w:rsidRPr="00000000">
        <w:rPr>
          <w:rtl w:val="0"/>
        </w:rPr>
        <w:t xml:space="preserve">Sec. 5, FCA 1964; Sec. 8, 9, 10, GWA 1890</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Who may file: Father, mother, grandparents, relatives, or any person concerned with the welfare of the minor.</w:t>
      </w:r>
    </w:p>
    <w:p w:rsidR="00000000" w:rsidDel="00000000" w:rsidP="00000000" w:rsidRDefault="00000000" w:rsidRPr="00000000" w14:paraId="00000034">
      <w:pPr>
        <w:rPr/>
      </w:pPr>
      <w:r w:rsidDel="00000000" w:rsidR="00000000" w:rsidRPr="00000000">
        <w:rPr>
          <w:rtl w:val="0"/>
        </w:rPr>
        <w:t xml:space="preserve">Territorial Jurisdiction [Sec. 9, GWA]: Court within whose jurisdiction the minor "ordinarily resides". Factors: permanent residence, duration of stay, place of schooling, and person providing daily care. Temporary relocation does not change jurisdiction.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Contents [Sec. 10, GWA]: Particulars of the minor, parents, person in current custody, grounds for claim, and facts showing that the proposed arrangement serves the child’s welfare. Reliefs may include custody, restoration, interim custody, and visitation.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Documents: B-Form / Birth Certificate, CNIC of applicant, Marriage/Divorce Certificate, and proof of residence and care.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Notice [Sec. 11, GWA]: Issued to parents, current custodian, and other necessary persons through process server, registered post, or publication. Proof of service is placed on record.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rPr/>
      </w:pPr>
      <w:bookmarkStart w:colFirst="0" w:colLast="0" w:name="_ngpetqi6r7af" w:id="25"/>
      <w:bookmarkEnd w:id="25"/>
      <w:r w:rsidDel="00000000" w:rsidR="00000000" w:rsidRPr="00000000">
        <w:rPr>
          <w:rtl w:val="0"/>
        </w:rPr>
        <w:t xml:space="preserve">    2.2 Written Statement</w:t>
      </w:r>
    </w:p>
    <w:p w:rsidR="00000000" w:rsidDel="00000000" w:rsidP="00000000" w:rsidRDefault="00000000" w:rsidRPr="00000000" w14:paraId="0000003D">
      <w:pPr>
        <w:rPr/>
      </w:pPr>
      <w:r w:rsidDel="00000000" w:rsidR="00000000" w:rsidRPr="00000000">
        <w:rPr>
          <w:rtl w:val="0"/>
        </w:rPr>
        <w:t xml:space="preserve">Sec. 9, FCA 1964</w:t>
      </w:r>
    </w:p>
    <w:p w:rsidR="00000000" w:rsidDel="00000000" w:rsidP="00000000" w:rsidRDefault="00000000" w:rsidRPr="00000000" w14:paraId="0000003E">
      <w:pPr>
        <w:rPr/>
      </w:pPr>
      <w:r w:rsidDel="00000000" w:rsidR="00000000" w:rsidRPr="00000000">
        <w:rPr>
          <w:rtl w:val="0"/>
        </w:rPr>
        <w:t xml:space="preserve">The respondent appears and files a written statement admitting or denying allegations, raising objections to jurisdiction or maintainability, claiming custody, and challenging the applicant’s suitability. It must be supported by documents and a list of witnesses. The Court may proceed ex-parte, but must still decide based on the welfare of the minor.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rPr/>
      </w:pPr>
      <w:bookmarkStart w:colFirst="0" w:colLast="0" w:name="_x4cvqwusi7d1" w:id="26"/>
      <w:bookmarkEnd w:id="26"/>
      <w:r w:rsidDel="00000000" w:rsidR="00000000" w:rsidRPr="00000000">
        <w:rPr>
          <w:rtl w:val="0"/>
        </w:rPr>
        <w:t xml:space="preserve">     2.3 Settlement Efforts [Sec. 10(3), FCA 1964]</w:t>
      </w:r>
    </w:p>
    <w:p w:rsidR="00000000" w:rsidDel="00000000" w:rsidP="00000000" w:rsidRDefault="00000000" w:rsidRPr="00000000" w14:paraId="00000041">
      <w:pPr>
        <w:rPr/>
      </w:pPr>
      <w:r w:rsidDel="00000000" w:rsidR="00000000" w:rsidRPr="00000000">
        <w:rPr>
          <w:rtl w:val="0"/>
        </w:rPr>
        <w:t xml:space="preserve">After pleadings, the Court conducts a pre-trial hearing to explore reconciliation. In custody matters this may cover custody, visitation, education, medical care, and parental contact. If settlement is reached, the Court records it. If not, proceedings continue.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rPr/>
      </w:pPr>
      <w:bookmarkStart w:colFirst="0" w:colLast="0" w:name="_du0dhelos5j4" w:id="27"/>
      <w:bookmarkEnd w:id="27"/>
      <w:r w:rsidDel="00000000" w:rsidR="00000000" w:rsidRPr="00000000">
        <w:rPr>
          <w:rtl w:val="0"/>
        </w:rPr>
        <w:t xml:space="preserve">     2.4 Framing of Issues [Sec. 10(4), FCA 1964]</w:t>
      </w:r>
    </w:p>
    <w:p w:rsidR="00000000" w:rsidDel="00000000" w:rsidP="00000000" w:rsidRDefault="00000000" w:rsidRPr="00000000" w14:paraId="00000044">
      <w:pPr>
        <w:rPr/>
      </w:pPr>
      <w:r w:rsidDel="00000000" w:rsidR="00000000" w:rsidRPr="00000000">
        <w:rPr>
          <w:rtl w:val="0"/>
        </w:rPr>
        <w:t xml:space="preserve">If settlement fails, the Court frames issues such as: entitlement to custody, suitability of parties, and whether modification of the existing arrangement is warranted. Technical formalities are relaxed. The paramount consideration remains the welfare of the minor.</w:t>
      </w:r>
    </w:p>
    <w:p w:rsidR="00000000" w:rsidDel="00000000" w:rsidP="00000000" w:rsidRDefault="00000000" w:rsidRPr="00000000" w14:paraId="00000045">
      <w:pPr>
        <w:pStyle w:val="Heading2"/>
        <w:rPr/>
      </w:pPr>
      <w:bookmarkStart w:colFirst="0" w:colLast="0" w:name="_vh7duids35n5" w:id="28"/>
      <w:bookmarkEnd w:id="28"/>
      <w:r w:rsidDel="00000000" w:rsidR="00000000" w:rsidRPr="00000000">
        <w:rPr>
          <w:rtl w:val="0"/>
        </w:rPr>
      </w:r>
    </w:p>
    <w:p w:rsidR="00000000" w:rsidDel="00000000" w:rsidP="00000000" w:rsidRDefault="00000000" w:rsidRPr="00000000" w14:paraId="00000046">
      <w:pPr>
        <w:pStyle w:val="Heading2"/>
        <w:rPr/>
      </w:pPr>
      <w:bookmarkStart w:colFirst="0" w:colLast="0" w:name="_pz1tq93fr3ed" w:id="29"/>
      <w:bookmarkEnd w:id="29"/>
      <w:r w:rsidDel="00000000" w:rsidR="00000000" w:rsidRPr="00000000">
        <w:rPr>
          <w:rtl w:val="0"/>
        </w:rPr>
        <w:t xml:space="preserve">3. TRIAL</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rPr/>
      </w:pPr>
      <w:bookmarkStart w:colFirst="0" w:colLast="0" w:name="_1lrlkywx6zxz" w:id="30"/>
      <w:bookmarkEnd w:id="30"/>
      <w:r w:rsidDel="00000000" w:rsidR="00000000" w:rsidRPr="00000000">
        <w:rPr>
          <w:rtl w:val="0"/>
        </w:rPr>
        <w:t xml:space="preserve">    3.1 Presentation of Evidence</w:t>
      </w:r>
    </w:p>
    <w:p w:rsidR="00000000" w:rsidDel="00000000" w:rsidP="00000000" w:rsidRDefault="00000000" w:rsidRPr="00000000" w14:paraId="00000049">
      <w:pPr>
        <w:rPr/>
      </w:pPr>
      <w:r w:rsidDel="00000000" w:rsidR="00000000" w:rsidRPr="00000000">
        <w:rPr>
          <w:rtl w:val="0"/>
        </w:rPr>
        <w:t xml:space="preserve">Sec. 11, FCA 1964; Sec. 12 &amp; 17, GWA 1890</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Interim Orders [Sec. 12, GWA]: Pending final disposal, the Court may direct production of the minor, grant interim custody, regulate interim visitation, and restrain removal of the minor from jurisdiction or from Pakistan.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Recording of Evidence [Sec. 11, FCA]: The applicant leads evidence to prove that granting custody serves the minor’s welfare. The respondent then leads rebuttal evidence. Witnesses are subject to cross-examination. The Court may put its own questions. Strict rules of evidence do not apply, but evidence must be relevant and reliable.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4"/>
        <w:rPr/>
      </w:pPr>
      <w:bookmarkStart w:colFirst="0" w:colLast="0" w:name="_dp3589c1njkk" w:id="31"/>
      <w:bookmarkEnd w:id="31"/>
      <w:r w:rsidDel="00000000" w:rsidR="00000000" w:rsidRPr="00000000">
        <w:rPr>
          <w:rtl w:val="0"/>
        </w:rPr>
        <w:t xml:space="preserve">           3.1.1 Applicant’s Evidence and Cross-Examination</w:t>
      </w:r>
    </w:p>
    <w:p w:rsidR="00000000" w:rsidDel="00000000" w:rsidP="00000000" w:rsidRDefault="00000000" w:rsidRPr="00000000" w14:paraId="00000050">
      <w:pPr>
        <w:rPr/>
      </w:pPr>
      <w:r w:rsidDel="00000000" w:rsidR="00000000" w:rsidRPr="00000000">
        <w:rPr>
          <w:rtl w:val="0"/>
        </w:rPr>
        <w:t xml:space="preserve">Examination-in-chief, cross-examination by respondent, and re-examination.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4"/>
        <w:rPr/>
      </w:pPr>
      <w:bookmarkStart w:colFirst="0" w:colLast="0" w:name="_b6f5fbdlqyuy" w:id="32"/>
      <w:bookmarkEnd w:id="32"/>
      <w:r w:rsidDel="00000000" w:rsidR="00000000" w:rsidRPr="00000000">
        <w:rPr>
          <w:rtl w:val="0"/>
        </w:rPr>
        <w:t xml:space="preserve">           3.1.2 Respondent’s Evidence and Cross-Examination</w:t>
      </w:r>
    </w:p>
    <w:p w:rsidR="00000000" w:rsidDel="00000000" w:rsidP="00000000" w:rsidRDefault="00000000" w:rsidRPr="00000000" w14:paraId="00000053">
      <w:pPr>
        <w:rPr/>
      </w:pPr>
      <w:r w:rsidDel="00000000" w:rsidR="00000000" w:rsidRPr="00000000">
        <w:rPr>
          <w:rtl w:val="0"/>
        </w:rPr>
        <w:t xml:space="preserve">Examination-in-chief, cross-examination by applicant, and re-examination.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Minor’s Preference [Sec. 17(3), GWA]: If the minor is capable of forming an intelligent preference, the Court may ascertain it in chambers. The preference is one factor and not conclusive.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Welfare Principle and Personal Law: Under Hanafi law, the mother has a preferential right of hizanat until 7 years for a son and until puberty for a daughter. However, this personal law preference yields to the welfare of the minor under Sec. 17, GWA.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rPr/>
      </w:pPr>
      <w:bookmarkStart w:colFirst="0" w:colLast="0" w:name="_f40zgq48jy1e" w:id="33"/>
      <w:bookmarkEnd w:id="33"/>
      <w:r w:rsidDel="00000000" w:rsidR="00000000" w:rsidRPr="00000000">
        <w:rPr>
          <w:rtl w:val="0"/>
        </w:rPr>
        <w:t xml:space="preserve">      3.2 Final Arguments</w:t>
      </w:r>
    </w:p>
    <w:p w:rsidR="00000000" w:rsidDel="00000000" w:rsidP="00000000" w:rsidRDefault="00000000" w:rsidRPr="00000000" w14:paraId="0000005A">
      <w:pPr>
        <w:rPr/>
      </w:pPr>
      <w:r w:rsidDel="00000000" w:rsidR="00000000" w:rsidRPr="00000000">
        <w:rPr>
          <w:rtl w:val="0"/>
        </w:rPr>
        <w:t xml:space="preserve">Counsel address the Court on the evidence, suitability of parties, and application of Sec. 17, GWA welfare factors. The Court may reserve judgment.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rPr/>
      </w:pPr>
      <w:bookmarkStart w:colFirst="0" w:colLast="0" w:name="_wmbqg484aobp" w:id="34"/>
      <w:bookmarkEnd w:id="34"/>
      <w:r w:rsidDel="00000000" w:rsidR="00000000" w:rsidRPr="00000000">
        <w:rPr>
          <w:rtl w:val="0"/>
        </w:rPr>
        <w:t xml:space="preserve">    3.3 Judgment and Decree</w:t>
      </w:r>
    </w:p>
    <w:p w:rsidR="00000000" w:rsidDel="00000000" w:rsidP="00000000" w:rsidRDefault="00000000" w:rsidRPr="00000000" w14:paraId="0000005D">
      <w:pPr>
        <w:rPr/>
      </w:pPr>
      <w:r w:rsidDel="00000000" w:rsidR="00000000" w:rsidRPr="00000000">
        <w:rPr>
          <w:rtl w:val="0"/>
        </w:rPr>
        <w:t xml:space="preserve">Sec. 7 &amp; 17, GWA 1890</w:t>
      </w:r>
    </w:p>
    <w:p w:rsidR="00000000" w:rsidDel="00000000" w:rsidP="00000000" w:rsidRDefault="00000000" w:rsidRPr="00000000" w14:paraId="0000005E">
      <w:pPr>
        <w:rPr/>
      </w:pPr>
      <w:r w:rsidDel="00000000" w:rsidR="00000000" w:rsidRPr="00000000">
        <w:rPr>
          <w:rtl w:val="0"/>
        </w:rPr>
        <w:t xml:space="preserve">The welfare of the minor is the supreme consideration. The Court considers: age, sex, emotional and physical needs, character and capacity of claimant, prior care, education, health, safety, moral development, and stability of living environment.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Court may grant custody to the father, mother, or a third person, refuse custody, and regulate visitation. The order typically addresses residence, education, medical care, and continued contact with the non-custodial parent.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rPr/>
      </w:pPr>
      <w:bookmarkStart w:colFirst="0" w:colLast="0" w:name="_jd4r28lzg02q" w:id="35"/>
      <w:bookmarkEnd w:id="35"/>
      <w:r w:rsidDel="00000000" w:rsidR="00000000" w:rsidRPr="00000000">
        <w:rPr>
          <w:rtl w:val="0"/>
        </w:rPr>
        <w:t xml:space="preserve"> 4. POST-TRIAL</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rPr/>
      </w:pPr>
      <w:bookmarkStart w:colFirst="0" w:colLast="0" w:name="_oxq7aljt1pvc" w:id="36"/>
      <w:bookmarkEnd w:id="36"/>
      <w:r w:rsidDel="00000000" w:rsidR="00000000" w:rsidRPr="00000000">
        <w:rPr>
          <w:rtl w:val="0"/>
        </w:rPr>
        <w:t xml:space="preserve">     4.1 Execution</w:t>
      </w:r>
    </w:p>
    <w:p w:rsidR="00000000" w:rsidDel="00000000" w:rsidP="00000000" w:rsidRDefault="00000000" w:rsidRPr="00000000" w14:paraId="00000066">
      <w:pPr>
        <w:rPr/>
      </w:pPr>
      <w:r w:rsidDel="00000000" w:rsidR="00000000" w:rsidRPr="00000000">
        <w:rPr>
          <w:rtl w:val="0"/>
        </w:rPr>
        <w:t xml:space="preserve">FCA 1964; Sec. 25 &amp; 17, GWA 1890</w:t>
      </w:r>
    </w:p>
    <w:p w:rsidR="00000000" w:rsidDel="00000000" w:rsidP="00000000" w:rsidRDefault="00000000" w:rsidRPr="00000000" w14:paraId="00000067">
      <w:pPr>
        <w:rPr/>
      </w:pPr>
      <w:r w:rsidDel="00000000" w:rsidR="00000000" w:rsidRPr="00000000">
        <w:rPr>
          <w:rtl w:val="0"/>
        </w:rPr>
        <w:t xml:space="preserve">Enforcement: Where custody is not delivered, the aggrieved party may seek enforcement. Under Sec. 25, GWA, the Court may order return of the minor if consistent with welfare. Enforcement is not mechanical and may be refused where immediate return would harm the child.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Modification: Custody orders are not final. The Court may modify an arrangement upon proof of a material change in circumstances affecting the child’s welfare.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rPr/>
      </w:pPr>
      <w:bookmarkStart w:colFirst="0" w:colLast="0" w:name="_53z8q7nr35n2" w:id="37"/>
      <w:bookmarkEnd w:id="37"/>
      <w:r w:rsidDel="00000000" w:rsidR="00000000" w:rsidRPr="00000000">
        <w:rPr>
          <w:rtl w:val="0"/>
        </w:rPr>
        <w:t xml:space="preserve">    4.2 Appeal</w:t>
      </w:r>
    </w:p>
    <w:p w:rsidR="00000000" w:rsidDel="00000000" w:rsidP="00000000" w:rsidRDefault="00000000" w:rsidRPr="00000000" w14:paraId="0000006C">
      <w:pPr>
        <w:rPr/>
      </w:pPr>
      <w:r w:rsidDel="00000000" w:rsidR="00000000" w:rsidRPr="00000000">
        <w:rPr>
          <w:rtl w:val="0"/>
        </w:rPr>
        <w:t xml:space="preserve">Sec. 47, GWA 1890; Sec. 14, FCA 1964; Art. 155, Limitation Act 1908</w:t>
      </w:r>
    </w:p>
    <w:p w:rsidR="00000000" w:rsidDel="00000000" w:rsidP="00000000" w:rsidRDefault="00000000" w:rsidRPr="00000000" w14:paraId="0000006D">
      <w:pPr>
        <w:rPr/>
      </w:pPr>
      <w:r w:rsidDel="00000000" w:rsidR="00000000" w:rsidRPr="00000000">
        <w:rPr>
          <w:rtl w:val="0"/>
        </w:rPr>
        <w:t xml:space="preserve">Appealable orders include appointment/removal of guardian and orders for return of ward under Sec. 25, GWA.</w:t>
      </w:r>
    </w:p>
    <w:p w:rsidR="00000000" w:rsidDel="00000000" w:rsidP="00000000" w:rsidRDefault="00000000" w:rsidRPr="00000000" w14:paraId="0000006E">
      <w:pPr>
        <w:rPr/>
      </w:pPr>
      <w:r w:rsidDel="00000000" w:rsidR="00000000" w:rsidRPr="00000000">
        <w:rPr>
          <w:rtl w:val="0"/>
        </w:rPr>
        <w:t xml:space="preserve">Forum: If the Family Court is presided over by a District Judge or Additional District Judge, appeal lies to the High Court. In other cases, to the District Court.</w:t>
      </w:r>
    </w:p>
    <w:p w:rsidR="00000000" w:rsidDel="00000000" w:rsidP="00000000" w:rsidRDefault="00000000" w:rsidRPr="00000000" w14:paraId="0000006F">
      <w:pPr>
        <w:rPr/>
      </w:pPr>
      <w:r w:rsidDel="00000000" w:rsidR="00000000" w:rsidRPr="00000000">
        <w:rPr>
          <w:rtl w:val="0"/>
        </w:rPr>
        <w:t xml:space="preserve">Limitation: 30 days from the date of judgment, decree, or order.</w:t>
      </w:r>
    </w:p>
    <w:p w:rsidR="00000000" w:rsidDel="00000000" w:rsidP="00000000" w:rsidRDefault="00000000" w:rsidRPr="00000000" w14:paraId="00000070">
      <w:pPr>
        <w:rPr/>
      </w:pPr>
      <w:r w:rsidDel="00000000" w:rsidR="00000000" w:rsidRPr="00000000">
        <w:rPr>
          <w:rtl w:val="0"/>
        </w:rPr>
        <w:t xml:space="preserve">Grounds include misapplication of law and incorrect assessment of welfare. A stay may be sought during pendency of appeal.</w:t>
      </w:r>
    </w:p>
    <w:p w:rsidR="00000000" w:rsidDel="00000000" w:rsidP="00000000" w:rsidRDefault="00000000" w:rsidRPr="00000000" w14:paraId="000000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