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rtl w:val="0"/>
        </w:rPr>
        <w:t xml:space="preserve">Question Bank </w:t>
      </w:r>
      <w:bookmarkStart w:colFirst="0" w:colLast="0" w:name="bookmark=id.r8hghgc8ns1e" w:id="0"/>
      <w:bookmarkEnd w:id="0"/>
      <w:bookmarkStart w:colFirst="0" w:colLast="0" w:name="bookmark=id.oinqd6y4mkt5" w:id="1"/>
      <w:bookmarkEnd w:id="1"/>
      <w:bookmarkStart w:colFirst="0" w:colLast="0" w:name="bookmark=id.qw3aojufvvgm" w:id="2"/>
      <w:bookmarkEnd w:id="2"/>
      <w:r w:rsidDel="00000000" w:rsidR="00000000" w:rsidRPr="00000000">
        <w:rPr>
          <w:rtl w:val="0"/>
        </w:rPr>
      </w:r>
    </w:p>
    <w:bookmarkStart w:colFirst="0" w:colLast="0" w:name="bookmark=id.3clybirmiau2" w:id="3"/>
    <w:bookmarkEnd w:id="3"/>
    <w:p w:rsidR="00000000" w:rsidDel="00000000" w:rsidP="00000000" w:rsidRDefault="00000000" w:rsidRPr="00000000" w14:paraId="00000003">
      <w:pPr>
        <w:pStyle w:val="Heading2"/>
        <w:rPr/>
      </w:pPr>
      <w:r w:rsidDel="00000000" w:rsidR="00000000" w:rsidRPr="00000000">
        <w:rPr>
          <w:rtl w:val="0"/>
        </w:rPr>
        <w:t xml:space="preserve">GUARDIANSHIP</w:t>
      </w:r>
    </w:p>
    <w:bookmarkStart w:colFirst="0" w:colLast="0" w:name="bookmark=id.xlzuye33qdq0" w:id="4"/>
    <w:bookmarkEnd w:id="4"/>
    <w:p w:rsidR="00000000" w:rsidDel="00000000" w:rsidP="00000000" w:rsidRDefault="00000000" w:rsidRPr="00000000" w14:paraId="00000004">
      <w:pPr>
        <w:pStyle w:val="Heading3"/>
        <w:rPr/>
      </w:pPr>
      <w:r w:rsidDel="00000000" w:rsidR="00000000" w:rsidRPr="00000000">
        <w:rPr>
          <w:rtl w:val="0"/>
        </w:rPr>
        <w:t xml:space="preserve">Father</w:t>
      </w:r>
    </w:p>
    <w:tbl>
      <w:tblPr>
        <w:tblStyle w:val="Table1"/>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2050"/>
        <w:gridCol w:w="4016"/>
        <w:gridCol w:w="2895"/>
        <w:tblGridChange w:id="0">
          <w:tblGrid>
            <w:gridCol w:w="389"/>
            <w:gridCol w:w="2050"/>
            <w:gridCol w:w="4016"/>
            <w:gridCol w:w="2895"/>
          </w:tblGrid>
        </w:tblGridChange>
      </w:tblGrid>
      <w:tr>
        <w:trPr>
          <w:cantSplit w:val="0"/>
          <w:tblHeader w:val="1"/>
        </w:trPr>
        <w:tc>
          <w:tcPr>
            <w:shd w:fill="auto"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shd w:fill="auto"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shd w:fill="auto"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w:t>
            </w:r>
          </w:p>
        </w:tc>
        <w:tc>
          <w:tcPr>
            <w:shd w:fill="auto"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the father the natural or legal guardian of a minor’s person and property?</w:t>
            </w:r>
          </w:p>
        </w:tc>
        <w:tc>
          <w:tcPr>
            <w:shd w:fill="auto"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Under Muslim personal law, the father is ordinarily the natural guardian, particularly of the minor’s property, subject to court appointment or confirmation and to the welfare principle for custody-related aspects.</w:t>
            </w:r>
          </w:p>
        </w:tc>
        <w:tc>
          <w:tcPr>
            <w:shd w:fill="auto"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Guardians and Wards Act 1890, s.19, limiting the court’s power to appoint a guardian where the father is alive and fit, subject to exceptions</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the father be removed as guardian?</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if found unfit — for example, due to cruelty, incapacity, or acting against the minor’s welfare or interests, especially regarding the minor’s property.</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s.39, removal of guardian</w:t>
            </w:r>
          </w:p>
        </w:tc>
      </w:tr>
    </w:tbl>
    <w:bookmarkStart w:colFirst="0" w:colLast="0" w:name="bookmark=id.x3t5arm923k5" w:id="5"/>
    <w:bookmarkEnd w:id="5"/>
    <w:p w:rsidR="00000000" w:rsidDel="00000000" w:rsidP="00000000" w:rsidRDefault="00000000" w:rsidRPr="00000000" w14:paraId="00000011">
      <w:pPr>
        <w:pStyle w:val="Heading3"/>
        <w:rPr/>
      </w:pPr>
      <w:r w:rsidDel="00000000" w:rsidR="00000000" w:rsidRPr="00000000">
        <w:rPr>
          <w:rtl w:val="0"/>
        </w:rPr>
        <w:t xml:space="preserve">Mother</w:t>
      </w:r>
    </w:p>
    <w:tbl>
      <w:tblPr>
        <w:tblStyle w:val="Table2"/>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3017"/>
        <w:gridCol w:w="3943"/>
        <w:gridCol w:w="2001"/>
        <w:tblGridChange w:id="0">
          <w:tblGrid>
            <w:gridCol w:w="389"/>
            <w:gridCol w:w="3017"/>
            <w:gridCol w:w="3943"/>
            <w:gridCol w:w="2001"/>
          </w:tblGrid>
        </w:tblGridChange>
      </w:tblGrid>
      <w:tr>
        <w:trPr>
          <w:cantSplit w:val="0"/>
          <w:tblHeader w:val="1"/>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shd w:fill="auto"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w:t>
            </w:r>
          </w:p>
        </w:tc>
        <w:tc>
          <w:tcPr>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 Reference</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the mother be appointed legal guardian of the minor’s property?</w:t>
            </w:r>
          </w:p>
        </w:tc>
        <w:tc>
          <w:tcPr>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if the court finds it to be in the minor’s welfare, particularly where the father is deceased, unfit, or absent.</w:t>
            </w:r>
          </w:p>
        </w:tc>
        <w:tc>
          <w:tcPr>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s.7 &amp; 17</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Hizanat, that is custody, automatically make the mother the legal “guardian”?</w:t>
            </w:r>
          </w:p>
        </w:tc>
        <w:tc>
          <w:tcPr>
            <w:tcBorders>
              <w:bottom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Custody (Hizanat) and legal guardianship (Wilayat), especially of property, are distinct concepts; a mother having custody does not automatically make her the property guardian unless she is court-appointed.</w:t>
            </w:r>
          </w:p>
        </w:tc>
        <w:tc>
          <w:tcPr>
            <w:tcBorders>
              <w:bottom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the Muslim personal law distinction between Hizanat and Wilayat</w:t>
            </w:r>
          </w:p>
        </w:tc>
      </w:tr>
      <w:tr>
        <w:trPr>
          <w:cantSplit w:val="0"/>
          <w:tblHeader w:val="0"/>
        </w:trPr>
        <w:tc>
          <w:tcPr>
            <w:tcBorders>
              <w:righ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both parents are alive but the father is abroad or absent for a prolonged period, can the mother be appointed guardian of the minor’s property in his absence?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The court can appoint the mother, or another suitable person, guardian of the property where the father’s prolonged absence or neglect makes it in the minor’s welfare, without formally removing the father’s status as natural guardian for other purposes.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s.7, s.17</w:t>
            </w:r>
          </w:p>
        </w:tc>
      </w:tr>
    </w:tbl>
    <w:bookmarkStart w:colFirst="0" w:colLast="0" w:name="bookmark=id.x3ek0jhknrtw" w:id="6"/>
    <w:bookmarkEnd w:id="6"/>
    <w:p w:rsidR="00000000" w:rsidDel="00000000" w:rsidP="00000000" w:rsidRDefault="00000000" w:rsidRPr="00000000" w14:paraId="00000022">
      <w:pPr>
        <w:pStyle w:val="Heading3"/>
        <w:rPr/>
      </w:pPr>
      <w:r w:rsidDel="00000000" w:rsidR="00000000" w:rsidRPr="00000000">
        <w:rPr>
          <w:rtl w:val="0"/>
        </w:rPr>
        <w:t xml:space="preserve"> Proposed Guardian / Existing Guardian</w:t>
      </w:r>
    </w:p>
    <w:tbl>
      <w:tblPr>
        <w:tblStyle w:val="Table3"/>
        <w:tblW w:w="9349.999999999998"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2708"/>
        <w:gridCol w:w="3774"/>
        <w:gridCol w:w="2479"/>
        <w:tblGridChange w:id="0">
          <w:tblGrid>
            <w:gridCol w:w="389"/>
            <w:gridCol w:w="2708"/>
            <w:gridCol w:w="3774"/>
            <w:gridCol w:w="2479"/>
          </w:tblGrid>
        </w:tblGridChange>
      </w:tblGrid>
      <w:tr>
        <w:trPr>
          <w:cantSplit w:val="0"/>
          <w:tblHeader w:val="1"/>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 Reference</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is a guardian appointed by the court?</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petition under the Guardians and Wards Act, generally filed in or transferred to the Family Court, considering the minor’s welfare, age, sex, the wishes of a deceased parent, and the relationship of the proposed guardian to the minor.</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s.7, s.17; Family Courts Act 1964, jurisdiction</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powers does a court-appointed guardian have over the minor’s property?</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Powers as specified in the guardianship certificate, generally requiring court permission for major transactions, such as the sale of immovable property.</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s.29–34</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a guardian be required to furnish security or accounts?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The court can require a bond or security and periodic accounts to safeguard the minor’s property.</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s.34</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a guardian sell the minor’s immovable property without prior court permission?</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 guardian of property requires the court’s prior permission before any sale, mortgage, exchange, gift, or lease exceeding a limited term of the minor’s immovable property; disposal without permission is voidable at the minor’s instance.</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Guardians and Wards Act 1890, s.29–30</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a guardian appointed only for the minor’s property also make emergency medical decisions for the child without separate court authorisation?</w:t>
            </w:r>
          </w:p>
        </w:tc>
        <w:tc>
          <w:tcPr>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guardian of property is not, by that appointment alone, vested with authority over the minor’s person or medical care; person and property guardianship are distinct, and day-to-day and emergency personal decisions ordinarily rest with whoever has custody or is guardian of the person, unless the same individual has also been appointed in that capacity or the court’s order specifically extends to it.</w:t>
            </w:r>
          </w:p>
        </w:tc>
        <w:tc>
          <w:tcPr>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Guardians and Wards Act 1890, s.7, 17, 24–29, distinguishing guardianship of the person from guardianship of property</w:t>
            </w:r>
          </w:p>
        </w:tc>
      </w:tr>
    </w:tbl>
    <w:bookmarkStart w:colFirst="0" w:colLast="0" w:name="bookmark=id.yu3jk3elh1e3" w:id="7"/>
    <w:bookmarkEnd w:id="7"/>
    <w:p w:rsidR="00000000" w:rsidDel="00000000" w:rsidP="00000000" w:rsidRDefault="00000000" w:rsidRPr="00000000" w14:paraId="0000003B">
      <w:pPr>
        <w:pStyle w:val="Heading3"/>
        <w:rPr/>
      </w:pPr>
      <w:r w:rsidDel="00000000" w:rsidR="00000000" w:rsidRPr="00000000">
        <w:rPr>
          <w:rtl w:val="0"/>
        </w:rPr>
        <w:t xml:space="preserve"> Minor Child</w:t>
      </w:r>
    </w:p>
    <w:tbl>
      <w:tblPr>
        <w:tblStyle w:val="Table4"/>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3897"/>
        <w:gridCol w:w="3342"/>
        <w:gridCol w:w="1722"/>
        <w:tblGridChange w:id="0">
          <w:tblGrid>
            <w:gridCol w:w="389"/>
            <w:gridCol w:w="3897"/>
            <w:gridCol w:w="3342"/>
            <w:gridCol w:w="1722"/>
          </w:tblGrid>
        </w:tblGridChange>
      </w:tblGrid>
      <w:tr>
        <w:trPr>
          <w:cantSplit w:val="0"/>
          <w:tblHeader w:val="1"/>
        </w:trPr>
        <w:tc>
          <w:tcPr>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shd w:fill="auto"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w:t>
            </w:r>
          </w:p>
        </w:tc>
        <w:tc>
          <w:tcPr>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a minor’s consent or preference relevant to a guardian’s appointment?</w:t>
            </w:r>
          </w:p>
        </w:tc>
        <w:tc>
          <w:tcPr>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if the child is old enough to form an intelligent preference.</w:t>
            </w:r>
          </w:p>
        </w:tc>
        <w:tc>
          <w:tcPr>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s.17(3)</w:t>
            </w:r>
          </w:p>
        </w:tc>
      </w:tr>
    </w:tbl>
    <w:bookmarkStart w:colFirst="0" w:colLast="0" w:name="bookmark=id.i2idzsi7cu7" w:id="8"/>
    <w:bookmarkEnd w:id="8"/>
    <w:p w:rsidR="00000000" w:rsidDel="00000000" w:rsidP="00000000" w:rsidRDefault="00000000" w:rsidRPr="00000000" w14:paraId="00000044">
      <w:pPr>
        <w:pStyle w:val="Heading3"/>
        <w:rPr/>
      </w:pPr>
      <w:r w:rsidDel="00000000" w:rsidR="00000000" w:rsidRPr="00000000">
        <w:rPr>
          <w:rtl w:val="0"/>
        </w:rPr>
        <w:t xml:space="preserve">Family Court Judge</w:t>
      </w:r>
    </w:p>
    <w:tbl>
      <w:tblPr>
        <w:tblStyle w:val="Table5"/>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2216"/>
        <w:gridCol w:w="4761"/>
        <w:gridCol w:w="1984"/>
        <w:tblGridChange w:id="0">
          <w:tblGrid>
            <w:gridCol w:w="389"/>
            <w:gridCol w:w="2216"/>
            <w:gridCol w:w="4761"/>
            <w:gridCol w:w="1984"/>
          </w:tblGrid>
        </w:tblGridChange>
      </w:tblGrid>
      <w:tr>
        <w:trPr>
          <w:cantSplit w:val="0"/>
          <w:tblHeader w:val="1"/>
        </w:trPr>
        <w:tc>
          <w:tcPr>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w:t>
            </w:r>
          </w:p>
        </w:tc>
        <w:tc>
          <w:tcPr>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court now exercises guardianship jurisdiction?</w:t>
            </w:r>
          </w:p>
        </w:tc>
        <w:tc>
          <w:tcPr>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Family Court, following the transfer of guardianship and custody jurisdiction from the District Judge, acting as Guardian Judge, under the 2002 and subsequent amendments to the Family Courts Act in most provinces.</w:t>
            </w:r>
          </w:p>
        </w:tc>
        <w:tc>
          <w:tcPr>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Family Courts Act 1964, s.5 &amp; Schedule, as amended</w:t>
            </w:r>
          </w:p>
        </w:tc>
      </w:tr>
    </w:tbl>
    <w:bookmarkStart w:colFirst="0" w:colLast="0" w:name="bookmark=id.hkjcjfteb8qg" w:id="9"/>
    <w:bookmarkEnd w:id="9"/>
    <w:p w:rsidR="00000000" w:rsidDel="00000000" w:rsidP="00000000" w:rsidRDefault="00000000" w:rsidRPr="00000000" w14:paraId="0000004D">
      <w:pPr>
        <w:pStyle w:val="Heading3"/>
        <w:rPr/>
      </w:pPr>
      <w:r w:rsidDel="00000000" w:rsidR="00000000" w:rsidRPr="00000000">
        <w:rPr>
          <w:rtl w:val="0"/>
        </w:rPr>
        <w:t xml:space="preserve">Grandparents / Other Relatives, Advocate / Lawyer, Child Welfare Officer, Social Welfare Officer, Psychologist, Medical Officer, Police Officer (Secondary)</w:t>
      </w:r>
    </w:p>
    <w:tbl>
      <w:tblPr>
        <w:tblStyle w:val="Table6"/>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90"/>
        <w:gridCol w:w="2988"/>
        <w:gridCol w:w="3960"/>
        <w:gridCol w:w="2012"/>
        <w:tblGridChange w:id="0">
          <w:tblGrid>
            <w:gridCol w:w="390"/>
            <w:gridCol w:w="2988"/>
            <w:gridCol w:w="3960"/>
            <w:gridCol w:w="2012"/>
          </w:tblGrid>
        </w:tblGridChange>
      </w:tblGrid>
      <w:tr>
        <w:trPr>
          <w:cantSplit w:val="0"/>
          <w:tblHeader w:val="1"/>
        </w:trPr>
        <w:tc>
          <w:tcPr>
            <w:shd w:fill="auto"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shd w:fill="auto"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w:t>
            </w:r>
          </w:p>
        </w:tc>
        <w:tc>
          <w:tcPr>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grandparents petition for guardianship if both parents are unfit or deceased?</w:t>
            </w:r>
          </w:p>
        </w:tc>
        <w:tc>
          <w:tcPr>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Any person claiming an interest, including grandparents or other relatives, may apply to be appointed guardian.</w:t>
            </w:r>
          </w:p>
        </w:tc>
        <w:tc>
          <w:tcPr>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s.10</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the police officer’s role in guardianship execution?</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Enforcing court orders relating to the production or handover of the minor, or safeguarding property under a guardianship order.</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G&amp;WA 1890; Family Courts Act 1964, s.17A</w:t>
            </w:r>
          </w:p>
        </w:tc>
      </w:tr>
    </w:tbl>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7avs3jq566r" w:id="10"/>
    <w:bookmarkEnd w:id="10"/>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864"/>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386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1f386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4"/>
    </w:rPr>
  </w:style>
  <w:style w:type="paragraph" w:styleId="Heading6">
    <w:name w:val="heading 6"/>
    <w:basedOn w:val="Normal"/>
    <w:next w:val="Normal"/>
    <w:pPr>
      <w:keepNext w:val="1"/>
      <w:keepLines w:val="1"/>
      <w:spacing w:after="0" w:before="200" w:lineRule="auto"/>
    </w:pPr>
    <w:rPr>
      <w:rFonts w:ascii="Calibri" w:cs="Calibri" w:eastAsia="Calibri" w:hAnsi="Calibri"/>
      <w:color w:val="1f386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f3864"/>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f3864"/>
      <w:sz w:val="30"/>
      <w:szCs w:val="30"/>
    </w:rPr>
  </w:style>
  <w:style w:type="table" w:styleId="Table1">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2">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3">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4">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5">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6">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5/KTEjbC9Li50+lh0Dd9immA2g==">CgMxLjAyD2lkLnI4aGdoZ2M4bnMxZTIPaWQub2lucWQ2eTRta3Q1Mg9pZC5xdzNhb2p1ZnZ2Z20yD2lkLjNjbHliaXJtaWF1MjIPaWQueGx6dXllMzNxZHEwMg9pZC54M3Q1YXJtOTIzazUyD2lkLngzZWswamhrbnJ0dzIPaWQueXUzamszZWxoMWUzMg5pZC5pMmlkenNpN2N1NzIPaWQuaGtqY2pmdGViOHFnMg9pZC4zN2F2czNqcTU2NnI4AHIhMUg4V2h2TEN3WUNhZmo5S240dm9xUXhWeW1IZEtqN2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 Bank ��� Reference Edition</vt:lpwstr>
  </property>
</Properties>
</file>