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F35D14" w14:textId="6A81D08A" w:rsidR="00E13E11" w:rsidRDefault="00E13E11" w:rsidP="00815CD8">
      <w:pPr>
        <w:pStyle w:val="Title"/>
        <w:jc w:val="left"/>
      </w:pPr>
    </w:p>
    <w:p w14:paraId="637C52CC" w14:textId="12003463" w:rsidR="00E13E11" w:rsidRDefault="00C869EB" w:rsidP="00815CD8">
      <w:pPr>
        <w:pStyle w:val="Subtitle"/>
      </w:pPr>
      <w:r>
        <w:t xml:space="preserve">Question Bank </w:t>
      </w:r>
      <w:bookmarkStart w:id="0" w:name="X989670d2906f74515f66a70f4a9ab5f587f5c55"/>
      <w:bookmarkStart w:id="1" w:name="module-7-visitation-rights"/>
      <w:bookmarkStart w:id="2" w:name="pakistan-family-law-system-question-bank"/>
    </w:p>
    <w:p w14:paraId="638D0542" w14:textId="0F0711DD" w:rsidR="00E13E11" w:rsidRDefault="00C869EB">
      <w:pPr>
        <w:pStyle w:val="Heading2"/>
      </w:pPr>
      <w:bookmarkStart w:id="3" w:name="module-9-haq-mehr-dower"/>
      <w:bookmarkEnd w:id="0"/>
      <w:bookmarkEnd w:id="1"/>
      <w:r>
        <w:t xml:space="preserve"> HAQ MEHR (DOWER)</w:t>
      </w:r>
    </w:p>
    <w:p w14:paraId="340FB3D5" w14:textId="1DB3D415" w:rsidR="00E13E11" w:rsidRDefault="00C869EB">
      <w:pPr>
        <w:pStyle w:val="Heading3"/>
      </w:pPr>
      <w:bookmarkStart w:id="4" w:name="wife-2"/>
      <w:r>
        <w:t>Wife</w:t>
      </w:r>
    </w:p>
    <w:tbl>
      <w:tblPr>
        <w:tblStyle w:val="Table"/>
        <w:tblW w:w="5000" w:type="pct"/>
        <w:tblLook w:val="0020" w:firstRow="1" w:lastRow="0" w:firstColumn="0" w:lastColumn="0" w:noHBand="0" w:noVBand="0"/>
      </w:tblPr>
      <w:tblGrid>
        <w:gridCol w:w="389"/>
        <w:gridCol w:w="2334"/>
        <w:gridCol w:w="4177"/>
        <w:gridCol w:w="2450"/>
      </w:tblGrid>
      <w:tr w:rsidR="00E13E11" w14:paraId="5507C446" w14:textId="77777777" w:rsidTr="00E13E11">
        <w:trPr>
          <w:cnfStyle w:val="100000000000" w:firstRow="1" w:lastRow="0" w:firstColumn="0" w:lastColumn="0" w:oddVBand="0" w:evenVBand="0" w:oddHBand="0" w:evenHBand="0" w:firstRowFirstColumn="0" w:firstRowLastColumn="0" w:lastRowFirstColumn="0" w:lastRowLastColumn="0"/>
        </w:trPr>
        <w:tc>
          <w:tcPr>
            <w:tcW w:w="0" w:type="auto"/>
          </w:tcPr>
          <w:p w14:paraId="5972B9B6" w14:textId="77777777" w:rsidR="00E13E11" w:rsidRDefault="00C869EB">
            <w:pPr>
              <w:pStyle w:val="Compact"/>
            </w:pPr>
            <w:r>
              <w:t>#</w:t>
            </w:r>
          </w:p>
        </w:tc>
        <w:tc>
          <w:tcPr>
            <w:tcW w:w="0" w:type="auto"/>
          </w:tcPr>
          <w:p w14:paraId="214B51F6" w14:textId="77777777" w:rsidR="00E13E11" w:rsidRDefault="00C869EB">
            <w:pPr>
              <w:pStyle w:val="Compact"/>
            </w:pPr>
            <w:r>
              <w:t>Question</w:t>
            </w:r>
          </w:p>
        </w:tc>
        <w:tc>
          <w:tcPr>
            <w:tcW w:w="0" w:type="auto"/>
          </w:tcPr>
          <w:p w14:paraId="619411D9" w14:textId="77777777" w:rsidR="00E13E11" w:rsidRDefault="00C869EB">
            <w:pPr>
              <w:pStyle w:val="Compact"/>
            </w:pPr>
            <w:r>
              <w:t>Answer</w:t>
            </w:r>
          </w:p>
        </w:tc>
        <w:tc>
          <w:tcPr>
            <w:tcW w:w="0" w:type="auto"/>
          </w:tcPr>
          <w:p w14:paraId="087D969D" w14:textId="77777777" w:rsidR="00E13E11" w:rsidRDefault="00C869EB">
            <w:pPr>
              <w:pStyle w:val="Compact"/>
            </w:pPr>
            <w:r>
              <w:t>Law Reference</w:t>
            </w:r>
          </w:p>
        </w:tc>
      </w:tr>
      <w:tr w:rsidR="00E13E11" w14:paraId="53C30298" w14:textId="77777777">
        <w:tc>
          <w:tcPr>
            <w:tcW w:w="0" w:type="auto"/>
          </w:tcPr>
          <w:p w14:paraId="260196F6" w14:textId="77777777" w:rsidR="00E13E11" w:rsidRDefault="00C869EB">
            <w:pPr>
              <w:pStyle w:val="Compact"/>
            </w:pPr>
            <w:r>
              <w:t>1</w:t>
            </w:r>
          </w:p>
        </w:tc>
        <w:tc>
          <w:tcPr>
            <w:tcW w:w="0" w:type="auto"/>
          </w:tcPr>
          <w:p w14:paraId="26091391" w14:textId="77777777" w:rsidR="00E13E11" w:rsidRDefault="00C869EB">
            <w:pPr>
              <w:pStyle w:val="Compact"/>
            </w:pPr>
            <w:r>
              <w:t>What is Haq Mehr, and when is it payable?</w:t>
            </w:r>
          </w:p>
        </w:tc>
        <w:tc>
          <w:tcPr>
            <w:tcW w:w="0" w:type="auto"/>
          </w:tcPr>
          <w:p w14:paraId="45405DFE" w14:textId="77777777" w:rsidR="00E13E11" w:rsidRDefault="00C869EB">
            <w:pPr>
              <w:pStyle w:val="Compact"/>
            </w:pPr>
            <w:r>
              <w:t>A mandatory consideration payable by the husband to the wife on marriage. “Prompt” (Muajjal) Mehr is payable on demand or immediately, while “deferred” (Muwajjal) Mehr becomes payable on dissolution of the marriage, by death or divorce, or as otherwise agreed.</w:t>
            </w:r>
          </w:p>
        </w:tc>
        <w:tc>
          <w:tcPr>
            <w:tcW w:w="0" w:type="auto"/>
          </w:tcPr>
          <w:p w14:paraId="5162BB94" w14:textId="77777777" w:rsidR="00E13E11" w:rsidRDefault="00C869EB">
            <w:pPr>
              <w:pStyle w:val="Compact"/>
            </w:pPr>
            <w:r>
              <w:t>MFLO 1961, s.10; Islamic law of Mehr; Nikahnama Columns 13–16</w:t>
            </w:r>
          </w:p>
        </w:tc>
      </w:tr>
      <w:tr w:rsidR="00E13E11" w14:paraId="3C81314B" w14:textId="77777777">
        <w:tc>
          <w:tcPr>
            <w:tcW w:w="0" w:type="auto"/>
          </w:tcPr>
          <w:p w14:paraId="7B475549" w14:textId="77777777" w:rsidR="00E13E11" w:rsidRDefault="00C869EB">
            <w:pPr>
              <w:pStyle w:val="Compact"/>
            </w:pPr>
            <w:r>
              <w:t>2</w:t>
            </w:r>
          </w:p>
        </w:tc>
        <w:tc>
          <w:tcPr>
            <w:tcW w:w="0" w:type="auto"/>
          </w:tcPr>
          <w:p w14:paraId="7A9FCA13" w14:textId="77777777" w:rsidR="00E13E11" w:rsidRDefault="00C869EB">
            <w:pPr>
              <w:pStyle w:val="Compact"/>
            </w:pPr>
            <w:r>
              <w:t>Can the wife recover unpaid Haq Mehr through the Family Court?</w:t>
            </w:r>
          </w:p>
        </w:tc>
        <w:tc>
          <w:tcPr>
            <w:tcW w:w="0" w:type="auto"/>
          </w:tcPr>
          <w:p w14:paraId="5F184525" w14:textId="77777777" w:rsidR="00E13E11" w:rsidRDefault="00C869EB">
            <w:pPr>
              <w:pStyle w:val="Compact"/>
            </w:pPr>
            <w:r>
              <w:t>Yes, through a suit for recovery of dower before the Family Court.</w:t>
            </w:r>
          </w:p>
        </w:tc>
        <w:tc>
          <w:tcPr>
            <w:tcW w:w="0" w:type="auto"/>
          </w:tcPr>
          <w:p w14:paraId="41217B3A" w14:textId="77777777" w:rsidR="00E13E11" w:rsidRDefault="00C869EB">
            <w:pPr>
              <w:pStyle w:val="Compact"/>
            </w:pPr>
            <w:r>
              <w:t>Family Courts Act 1964, Schedule</w:t>
            </w:r>
          </w:p>
        </w:tc>
      </w:tr>
      <w:tr w:rsidR="00E13E11" w14:paraId="46F67F57" w14:textId="77777777">
        <w:tc>
          <w:tcPr>
            <w:tcW w:w="0" w:type="auto"/>
          </w:tcPr>
          <w:p w14:paraId="434CE030" w14:textId="77777777" w:rsidR="00E13E11" w:rsidRDefault="00C869EB">
            <w:pPr>
              <w:pStyle w:val="Compact"/>
            </w:pPr>
            <w:r>
              <w:t>3</w:t>
            </w:r>
          </w:p>
        </w:tc>
        <w:tc>
          <w:tcPr>
            <w:tcW w:w="0" w:type="auto"/>
          </w:tcPr>
          <w:p w14:paraId="77417863" w14:textId="77777777" w:rsidR="00E13E11" w:rsidRDefault="00C869EB">
            <w:pPr>
              <w:pStyle w:val="Compact"/>
            </w:pPr>
            <w:r>
              <w:t>Does divorce, that is Talaq by the husband, affect the wife’s right to Haq Mehr?</w:t>
            </w:r>
          </w:p>
        </w:tc>
        <w:tc>
          <w:tcPr>
            <w:tcW w:w="0" w:type="auto"/>
          </w:tcPr>
          <w:p w14:paraId="25B45DD6" w14:textId="77777777" w:rsidR="00E13E11" w:rsidRDefault="00C869EB">
            <w:pPr>
              <w:pStyle w:val="Compact"/>
            </w:pPr>
            <w:r>
              <w:t>No. Talaq by the husband does not extinguish the wife’s right to unpaid Mehr, prompt or deferred, as it falls due.</w:t>
            </w:r>
          </w:p>
        </w:tc>
        <w:tc>
          <w:tcPr>
            <w:tcW w:w="0" w:type="auto"/>
          </w:tcPr>
          <w:p w14:paraId="13809590" w14:textId="77777777" w:rsidR="00E13E11" w:rsidRDefault="00C869EB">
            <w:pPr>
              <w:pStyle w:val="Compact"/>
            </w:pPr>
            <w:r>
              <w:t>MFLO 1961, s.10; general Islamic law principle</w:t>
            </w:r>
          </w:p>
        </w:tc>
      </w:tr>
      <w:tr w:rsidR="00E13E11" w14:paraId="27F7FADA" w14:textId="77777777">
        <w:tc>
          <w:tcPr>
            <w:tcW w:w="0" w:type="auto"/>
          </w:tcPr>
          <w:p w14:paraId="79801820" w14:textId="77777777" w:rsidR="00E13E11" w:rsidRDefault="00C869EB">
            <w:pPr>
              <w:pStyle w:val="Compact"/>
            </w:pPr>
            <w:r>
              <w:t>4</w:t>
            </w:r>
          </w:p>
        </w:tc>
        <w:tc>
          <w:tcPr>
            <w:tcW w:w="0" w:type="auto"/>
          </w:tcPr>
          <w:p w14:paraId="422A7691" w14:textId="77777777" w:rsidR="00E13E11" w:rsidRDefault="00C869EB">
            <w:pPr>
              <w:pStyle w:val="Compact"/>
            </w:pPr>
            <w:r>
              <w:t>Does Khula affect the Mehr claim?</w:t>
            </w:r>
          </w:p>
        </w:tc>
        <w:tc>
          <w:tcPr>
            <w:tcW w:w="0" w:type="auto"/>
          </w:tcPr>
          <w:p w14:paraId="72136493" w14:textId="77777777" w:rsidR="00E13E11" w:rsidRDefault="00C869EB">
            <w:pPr>
              <w:pStyle w:val="Compact"/>
            </w:pPr>
            <w:r>
              <w:t>Generally, in Khula the wife forgoes or returns the Mehr as consideration for the release, unless the decree provides otherwise.</w:t>
            </w:r>
          </w:p>
        </w:tc>
        <w:tc>
          <w:tcPr>
            <w:tcW w:w="0" w:type="auto"/>
          </w:tcPr>
          <w:p w14:paraId="6D065BAD" w14:textId="77777777" w:rsidR="00E13E11" w:rsidRDefault="00C869EB">
            <w:pPr>
              <w:pStyle w:val="Compact"/>
            </w:pPr>
            <w:r>
              <w:t>PLD 1967 SC 97</w:t>
            </w:r>
          </w:p>
        </w:tc>
      </w:tr>
      <w:tr w:rsidR="00E13E11" w14:paraId="191C81E9" w14:textId="77777777">
        <w:tc>
          <w:tcPr>
            <w:tcW w:w="0" w:type="auto"/>
          </w:tcPr>
          <w:p w14:paraId="6F5F5289" w14:textId="77777777" w:rsidR="00E13E11" w:rsidRDefault="00C869EB">
            <w:pPr>
              <w:pStyle w:val="Compact"/>
            </w:pPr>
            <w:r>
              <w:t>5</w:t>
            </w:r>
          </w:p>
        </w:tc>
        <w:tc>
          <w:tcPr>
            <w:tcW w:w="0" w:type="auto"/>
          </w:tcPr>
          <w:p w14:paraId="36EE4DB4" w14:textId="77777777" w:rsidR="00E13E11" w:rsidRDefault="00C869EB">
            <w:pPr>
              <w:pStyle w:val="Compact"/>
            </w:pPr>
            <w:r>
              <w:t>What if the Nikahnama does not specify the Mehr amount?</w:t>
            </w:r>
          </w:p>
        </w:tc>
        <w:tc>
          <w:tcPr>
            <w:tcW w:w="0" w:type="auto"/>
          </w:tcPr>
          <w:p w14:paraId="6F27B67F" w14:textId="77777777" w:rsidR="00E13E11" w:rsidRDefault="00C869EB">
            <w:pPr>
              <w:pStyle w:val="Compact"/>
            </w:pPr>
            <w:r>
              <w:t>Courts may determine “proper dower” (Mehr-e-Misl) based on the social status of the wife’s family and prevailing custom.</w:t>
            </w:r>
          </w:p>
        </w:tc>
        <w:tc>
          <w:tcPr>
            <w:tcW w:w="0" w:type="auto"/>
          </w:tcPr>
          <w:p w14:paraId="61912A9C" w14:textId="77777777" w:rsidR="00E13E11" w:rsidRDefault="00C869EB">
            <w:pPr>
              <w:pStyle w:val="Compact"/>
            </w:pPr>
            <w:r>
              <w:t>Islamic law of Mehr-e-Misl as recognised in Pakistani jurisprudence</w:t>
            </w:r>
          </w:p>
        </w:tc>
      </w:tr>
      <w:tr w:rsidR="00E13E11" w14:paraId="373EA970" w14:textId="77777777">
        <w:tc>
          <w:tcPr>
            <w:tcW w:w="0" w:type="auto"/>
          </w:tcPr>
          <w:p w14:paraId="75B075F3" w14:textId="77777777" w:rsidR="00E13E11" w:rsidRDefault="00C869EB">
            <w:pPr>
              <w:pStyle w:val="Compact"/>
            </w:pPr>
            <w:r>
              <w:t>6</w:t>
            </w:r>
          </w:p>
        </w:tc>
        <w:tc>
          <w:tcPr>
            <w:tcW w:w="0" w:type="auto"/>
          </w:tcPr>
          <w:p w14:paraId="0DA9CEDC" w14:textId="77777777" w:rsidR="00E13E11" w:rsidRDefault="00C869EB">
            <w:pPr>
              <w:pStyle w:val="Compact"/>
            </w:pPr>
            <w:r>
              <w:t>Is there a limitation period within which a wife must file for recovery of unpaid dower?</w:t>
            </w:r>
          </w:p>
        </w:tc>
        <w:tc>
          <w:tcPr>
            <w:tcW w:w="0" w:type="auto"/>
          </w:tcPr>
          <w:p w14:paraId="467190D5" w14:textId="77777777" w:rsidR="00E13E11" w:rsidRDefault="00C869EB">
            <w:pPr>
              <w:pStyle w:val="Compact"/>
            </w:pPr>
            <w:r>
              <w:t>Dower recovery suits are governed by the general law of limitation applicable to suits based on a written contract or account, and courts have taken varying views on the applicable limitation article depending on whether the Mehr is prompt or deferred; practitioners typically advise filing promptly once the cause of action — demand and refusal, or dissolution for deferred Mehr — arises, rather than relying on an extended period.</w:t>
            </w:r>
          </w:p>
        </w:tc>
        <w:tc>
          <w:tcPr>
            <w:tcW w:w="0" w:type="auto"/>
          </w:tcPr>
          <w:p w14:paraId="0DCE1D17" w14:textId="77777777" w:rsidR="00E13E11" w:rsidRDefault="00C869EB">
            <w:pPr>
              <w:pStyle w:val="Compact"/>
            </w:pPr>
            <w:r>
              <w:t>Limitation Act 1908, as applied via the CPC and the Family Courts Act; Family Courts Act 1964, Schedule</w:t>
            </w:r>
          </w:p>
        </w:tc>
      </w:tr>
      <w:tr w:rsidR="00E13E11" w14:paraId="0611D4D4" w14:textId="77777777">
        <w:tc>
          <w:tcPr>
            <w:tcW w:w="0" w:type="auto"/>
          </w:tcPr>
          <w:p w14:paraId="79F6FC5C" w14:textId="77777777" w:rsidR="00E13E11" w:rsidRDefault="00C869EB">
            <w:pPr>
              <w:pStyle w:val="Compact"/>
            </w:pPr>
            <w:r>
              <w:t>7</w:t>
            </w:r>
          </w:p>
        </w:tc>
        <w:tc>
          <w:tcPr>
            <w:tcW w:w="0" w:type="auto"/>
          </w:tcPr>
          <w:p w14:paraId="133C4AFD" w14:textId="77777777" w:rsidR="00E13E11" w:rsidRDefault="00C869EB">
            <w:pPr>
              <w:pStyle w:val="Compact"/>
            </w:pPr>
            <w:r>
              <w:t>Can a wife claim Haq Mehr together with dowry articles and maintenance in a single consolidated suit?</w:t>
            </w:r>
          </w:p>
        </w:tc>
        <w:tc>
          <w:tcPr>
            <w:tcW w:w="0" w:type="auto"/>
          </w:tcPr>
          <w:p w14:paraId="0B157F3D" w14:textId="77777777" w:rsidR="00E13E11" w:rsidRDefault="00C869EB">
            <w:pPr>
              <w:pStyle w:val="Compact"/>
            </w:pPr>
            <w:r>
              <w:t>Yes. The Family Courts Act allows all connected family claims — dower, maintenance, and dowry articles — to be joined in one composite suit before the Family Court, which avoids separate litigation and allows the court to decide all related claims together.</w:t>
            </w:r>
          </w:p>
        </w:tc>
        <w:tc>
          <w:tcPr>
            <w:tcW w:w="0" w:type="auto"/>
          </w:tcPr>
          <w:p w14:paraId="52BF0AE5" w14:textId="77777777" w:rsidR="00E13E11" w:rsidRDefault="00C869EB">
            <w:pPr>
              <w:pStyle w:val="Compact"/>
            </w:pPr>
            <w:r>
              <w:t>Family Courts Act 1964, s.5 &amp; Schedule, as amended</w:t>
            </w:r>
          </w:p>
        </w:tc>
      </w:tr>
    </w:tbl>
    <w:p w14:paraId="751E7020" w14:textId="79F041EF" w:rsidR="00E13E11" w:rsidRDefault="00C869EB">
      <w:pPr>
        <w:pStyle w:val="Heading3"/>
      </w:pPr>
      <w:bookmarkStart w:id="5" w:name="husband-2"/>
      <w:bookmarkEnd w:id="4"/>
      <w:r>
        <w:t>Husband</w:t>
      </w:r>
    </w:p>
    <w:tbl>
      <w:tblPr>
        <w:tblStyle w:val="Table"/>
        <w:tblW w:w="5000" w:type="pct"/>
        <w:tblLook w:val="0020" w:firstRow="1" w:lastRow="0" w:firstColumn="0" w:lastColumn="0" w:noHBand="0" w:noVBand="0"/>
      </w:tblPr>
      <w:tblGrid>
        <w:gridCol w:w="389"/>
        <w:gridCol w:w="2721"/>
        <w:gridCol w:w="3738"/>
        <w:gridCol w:w="2502"/>
      </w:tblGrid>
      <w:tr w:rsidR="00E13E11" w14:paraId="2308EE4C" w14:textId="77777777" w:rsidTr="00E13E11">
        <w:trPr>
          <w:cnfStyle w:val="100000000000" w:firstRow="1" w:lastRow="0" w:firstColumn="0" w:lastColumn="0" w:oddVBand="0" w:evenVBand="0" w:oddHBand="0" w:evenHBand="0" w:firstRowFirstColumn="0" w:firstRowLastColumn="0" w:lastRowFirstColumn="0" w:lastRowLastColumn="0"/>
        </w:trPr>
        <w:tc>
          <w:tcPr>
            <w:tcW w:w="0" w:type="auto"/>
          </w:tcPr>
          <w:p w14:paraId="2BC074C9" w14:textId="77777777" w:rsidR="00E13E11" w:rsidRDefault="00C869EB">
            <w:pPr>
              <w:pStyle w:val="Compact"/>
            </w:pPr>
            <w:r>
              <w:t>#</w:t>
            </w:r>
          </w:p>
        </w:tc>
        <w:tc>
          <w:tcPr>
            <w:tcW w:w="0" w:type="auto"/>
          </w:tcPr>
          <w:p w14:paraId="114D11EC" w14:textId="77777777" w:rsidR="00E13E11" w:rsidRDefault="00C869EB">
            <w:pPr>
              <w:pStyle w:val="Compact"/>
            </w:pPr>
            <w:r>
              <w:t>Question</w:t>
            </w:r>
          </w:p>
        </w:tc>
        <w:tc>
          <w:tcPr>
            <w:tcW w:w="0" w:type="auto"/>
          </w:tcPr>
          <w:p w14:paraId="54B54879" w14:textId="77777777" w:rsidR="00E13E11" w:rsidRDefault="00C869EB">
            <w:pPr>
              <w:pStyle w:val="Compact"/>
            </w:pPr>
            <w:r>
              <w:t>Answer</w:t>
            </w:r>
          </w:p>
        </w:tc>
        <w:tc>
          <w:tcPr>
            <w:tcW w:w="0" w:type="auto"/>
          </w:tcPr>
          <w:p w14:paraId="49AA3D92" w14:textId="77777777" w:rsidR="00E13E11" w:rsidRDefault="00C869EB">
            <w:pPr>
              <w:pStyle w:val="Compact"/>
            </w:pPr>
            <w:r>
              <w:t>Law Reference</w:t>
            </w:r>
          </w:p>
        </w:tc>
      </w:tr>
      <w:tr w:rsidR="00E13E11" w14:paraId="27647C4D" w14:textId="77777777">
        <w:tc>
          <w:tcPr>
            <w:tcW w:w="0" w:type="auto"/>
          </w:tcPr>
          <w:p w14:paraId="28AA8E70" w14:textId="77777777" w:rsidR="00E13E11" w:rsidRDefault="00C869EB">
            <w:pPr>
              <w:pStyle w:val="Compact"/>
            </w:pPr>
            <w:r>
              <w:t>1</w:t>
            </w:r>
          </w:p>
        </w:tc>
        <w:tc>
          <w:tcPr>
            <w:tcW w:w="0" w:type="auto"/>
          </w:tcPr>
          <w:p w14:paraId="32271456" w14:textId="77777777" w:rsidR="00E13E11" w:rsidRDefault="00C869EB">
            <w:pPr>
              <w:pStyle w:val="Compact"/>
            </w:pPr>
            <w:r>
              <w:t>Can the husband dispute the amount of Mehr recorded in the Nikahnama?</w:t>
            </w:r>
          </w:p>
        </w:tc>
        <w:tc>
          <w:tcPr>
            <w:tcW w:w="0" w:type="auto"/>
          </w:tcPr>
          <w:p w14:paraId="2044032E" w14:textId="77777777" w:rsidR="00E13E11" w:rsidRDefault="00C869EB">
            <w:pPr>
              <w:pStyle w:val="Compact"/>
            </w:pPr>
            <w:r>
              <w:t>He can raise a defence, such as fraud or a mistake in recording, but the registered Nikahnama carries a strong evidentiary presumption of correctness.</w:t>
            </w:r>
          </w:p>
        </w:tc>
        <w:tc>
          <w:tcPr>
            <w:tcW w:w="0" w:type="auto"/>
          </w:tcPr>
          <w:p w14:paraId="6C3AD0AD" w14:textId="77777777" w:rsidR="00E13E11" w:rsidRDefault="00C869EB">
            <w:pPr>
              <w:pStyle w:val="Compact"/>
            </w:pPr>
            <w:r>
              <w:t>MFLO 1961, s.5, s.10; QSO 1984, evidentiary value of registered documents</w:t>
            </w:r>
          </w:p>
        </w:tc>
      </w:tr>
      <w:tr w:rsidR="00E13E11" w14:paraId="1FB18059" w14:textId="77777777">
        <w:tc>
          <w:tcPr>
            <w:tcW w:w="0" w:type="auto"/>
          </w:tcPr>
          <w:p w14:paraId="55016EC3" w14:textId="77777777" w:rsidR="00E13E11" w:rsidRDefault="00C869EB">
            <w:pPr>
              <w:pStyle w:val="Compact"/>
            </w:pPr>
            <w:r>
              <w:t>2</w:t>
            </w:r>
          </w:p>
        </w:tc>
        <w:tc>
          <w:tcPr>
            <w:tcW w:w="0" w:type="auto"/>
          </w:tcPr>
          <w:p w14:paraId="3303120C" w14:textId="77777777" w:rsidR="00E13E11" w:rsidRDefault="00C869EB">
            <w:pPr>
              <w:pStyle w:val="Compact"/>
            </w:pPr>
            <w:r>
              <w:t>Is immediate payment of the full Mehr triggered by an unauthorised second marriage?</w:t>
            </w:r>
          </w:p>
        </w:tc>
        <w:tc>
          <w:tcPr>
            <w:tcW w:w="0" w:type="auto"/>
          </w:tcPr>
          <w:p w14:paraId="17D81CB8" w14:textId="77777777" w:rsidR="00E13E11" w:rsidRDefault="00C869EB">
            <w:pPr>
              <w:pStyle w:val="Compact"/>
            </w:pPr>
            <w:r>
              <w:t>Yes. Under section 6(5) of the MFLO, contracting a second marriage without Arbitration Council permission makes the entire Mehr of the existing wife or wives immediately payable, in addition to the penal consequences.</w:t>
            </w:r>
          </w:p>
        </w:tc>
        <w:tc>
          <w:tcPr>
            <w:tcW w:w="0" w:type="auto"/>
          </w:tcPr>
          <w:p w14:paraId="58D287D3" w14:textId="77777777" w:rsidR="00E13E11" w:rsidRDefault="00C869EB">
            <w:pPr>
              <w:pStyle w:val="Compact"/>
            </w:pPr>
            <w:r>
              <w:t>MFLO 1961, s.6(5)</w:t>
            </w:r>
          </w:p>
        </w:tc>
      </w:tr>
      <w:tr w:rsidR="00E13E11" w14:paraId="7C66A878" w14:textId="77777777">
        <w:tc>
          <w:tcPr>
            <w:tcW w:w="0" w:type="auto"/>
          </w:tcPr>
          <w:p w14:paraId="77958FE0" w14:textId="77777777" w:rsidR="00E13E11" w:rsidRDefault="00C869EB">
            <w:pPr>
              <w:pStyle w:val="Compact"/>
            </w:pPr>
            <w:r>
              <w:t>3</w:t>
            </w:r>
          </w:p>
        </w:tc>
        <w:tc>
          <w:tcPr>
            <w:tcW w:w="0" w:type="auto"/>
          </w:tcPr>
          <w:p w14:paraId="3FBD7165" w14:textId="77777777" w:rsidR="00E13E11" w:rsidRDefault="00C869EB">
            <w:pPr>
              <w:pStyle w:val="Compact"/>
            </w:pPr>
            <w:r>
              <w:t>Can Mehr be paid in kind, such as property, jewellery, or agricultural land, rather than in cash, and is this equally enforceable?</w:t>
            </w:r>
          </w:p>
        </w:tc>
        <w:tc>
          <w:tcPr>
            <w:tcW w:w="0" w:type="auto"/>
          </w:tcPr>
          <w:p w14:paraId="61B4149E" w14:textId="77777777" w:rsidR="00E13E11" w:rsidRDefault="00C869EB">
            <w:pPr>
              <w:pStyle w:val="Compact"/>
            </w:pPr>
            <w:r>
              <w:t>Yes. Mehr can be fixed and recorded in the Nikahnama as property, gold, or any other lawful consideration, and the wife can seek a decree for delivery of the specific article, or its assessed value in the alternative.</w:t>
            </w:r>
          </w:p>
        </w:tc>
        <w:tc>
          <w:tcPr>
            <w:tcW w:w="0" w:type="auto"/>
          </w:tcPr>
          <w:p w14:paraId="5487E4F0" w14:textId="77777777" w:rsidR="00E13E11" w:rsidRDefault="00C869EB">
            <w:pPr>
              <w:pStyle w:val="Compact"/>
            </w:pPr>
            <w:r>
              <w:t>MFLO 1961, s.10; Nikahnama Columns 13–16; general principles of a decree in the alternative as applied by Family Courts</w:t>
            </w:r>
          </w:p>
        </w:tc>
      </w:tr>
    </w:tbl>
    <w:p w14:paraId="095A0945" w14:textId="1E104238" w:rsidR="00E13E11" w:rsidRDefault="00C869EB">
      <w:pPr>
        <w:pStyle w:val="Heading3"/>
      </w:pPr>
      <w:bookmarkStart w:id="6" w:name="family-court-judge-6"/>
      <w:bookmarkEnd w:id="5"/>
      <w:r>
        <w:t xml:space="preserve"> Family Court Judge</w:t>
      </w:r>
    </w:p>
    <w:tbl>
      <w:tblPr>
        <w:tblStyle w:val="Table"/>
        <w:tblW w:w="5000" w:type="pct"/>
        <w:tblLook w:val="0020" w:firstRow="1" w:lastRow="0" w:firstColumn="0" w:lastColumn="0" w:noHBand="0" w:noVBand="0"/>
      </w:tblPr>
      <w:tblGrid>
        <w:gridCol w:w="389"/>
        <w:gridCol w:w="2386"/>
        <w:gridCol w:w="4068"/>
        <w:gridCol w:w="2507"/>
      </w:tblGrid>
      <w:tr w:rsidR="00E13E11" w14:paraId="264C5D09" w14:textId="77777777" w:rsidTr="00E13E11">
        <w:trPr>
          <w:cnfStyle w:val="100000000000" w:firstRow="1" w:lastRow="0" w:firstColumn="0" w:lastColumn="0" w:oddVBand="0" w:evenVBand="0" w:oddHBand="0" w:evenHBand="0" w:firstRowFirstColumn="0" w:firstRowLastColumn="0" w:lastRowFirstColumn="0" w:lastRowLastColumn="0"/>
        </w:trPr>
        <w:tc>
          <w:tcPr>
            <w:tcW w:w="0" w:type="auto"/>
          </w:tcPr>
          <w:p w14:paraId="5E225157" w14:textId="77777777" w:rsidR="00E13E11" w:rsidRDefault="00C869EB">
            <w:pPr>
              <w:pStyle w:val="Compact"/>
            </w:pPr>
            <w:r>
              <w:t>#</w:t>
            </w:r>
          </w:p>
        </w:tc>
        <w:tc>
          <w:tcPr>
            <w:tcW w:w="0" w:type="auto"/>
          </w:tcPr>
          <w:p w14:paraId="65975610" w14:textId="77777777" w:rsidR="00E13E11" w:rsidRDefault="00C869EB">
            <w:pPr>
              <w:pStyle w:val="Compact"/>
            </w:pPr>
            <w:r>
              <w:t>Question</w:t>
            </w:r>
          </w:p>
        </w:tc>
        <w:tc>
          <w:tcPr>
            <w:tcW w:w="0" w:type="auto"/>
          </w:tcPr>
          <w:p w14:paraId="79CD8D62" w14:textId="77777777" w:rsidR="00E13E11" w:rsidRDefault="00C869EB">
            <w:pPr>
              <w:pStyle w:val="Compact"/>
            </w:pPr>
            <w:r>
              <w:t>Answer</w:t>
            </w:r>
          </w:p>
        </w:tc>
        <w:tc>
          <w:tcPr>
            <w:tcW w:w="0" w:type="auto"/>
          </w:tcPr>
          <w:p w14:paraId="5DB5E62E" w14:textId="77777777" w:rsidR="00E13E11" w:rsidRDefault="00C869EB">
            <w:pPr>
              <w:pStyle w:val="Compact"/>
            </w:pPr>
            <w:r>
              <w:t>Law Reference</w:t>
            </w:r>
          </w:p>
        </w:tc>
      </w:tr>
      <w:tr w:rsidR="00E13E11" w14:paraId="66EDDEF4" w14:textId="77777777">
        <w:tc>
          <w:tcPr>
            <w:tcW w:w="0" w:type="auto"/>
          </w:tcPr>
          <w:p w14:paraId="5A99F271" w14:textId="77777777" w:rsidR="00E13E11" w:rsidRDefault="00C869EB">
            <w:pPr>
              <w:pStyle w:val="Compact"/>
            </w:pPr>
            <w:r>
              <w:t>1</w:t>
            </w:r>
          </w:p>
        </w:tc>
        <w:tc>
          <w:tcPr>
            <w:tcW w:w="0" w:type="auto"/>
          </w:tcPr>
          <w:p w14:paraId="5EF6C086" w14:textId="77777777" w:rsidR="00E13E11" w:rsidRDefault="00C869EB">
            <w:pPr>
              <w:pStyle w:val="Compact"/>
            </w:pPr>
            <w:r>
              <w:t>What evidentiary weight does the Nikahnama carry in a Mehr suit?</w:t>
            </w:r>
          </w:p>
        </w:tc>
        <w:tc>
          <w:tcPr>
            <w:tcW w:w="0" w:type="auto"/>
          </w:tcPr>
          <w:p w14:paraId="3B44CEF7" w14:textId="77777777" w:rsidR="00E13E11" w:rsidRDefault="00C869EB">
            <w:pPr>
              <w:pStyle w:val="Compact"/>
            </w:pPr>
            <w:r>
              <w:t>It is treated as strong, presumptive documentary evidence of the agreed Mehr amount and mode, prompt or deferred, rebuttable only by cogent evidence.</w:t>
            </w:r>
          </w:p>
        </w:tc>
        <w:tc>
          <w:tcPr>
            <w:tcW w:w="0" w:type="auto"/>
          </w:tcPr>
          <w:p w14:paraId="59C49DFD" w14:textId="77777777" w:rsidR="00E13E11" w:rsidRDefault="00C869EB">
            <w:pPr>
              <w:pStyle w:val="Compact"/>
            </w:pPr>
            <w:r>
              <w:t>MFLO 1961, s.5; QSO 1984, Art. 129, presumption as to documents</w:t>
            </w:r>
          </w:p>
        </w:tc>
      </w:tr>
    </w:tbl>
    <w:p w14:paraId="4E8F33FF" w14:textId="7069E8AB" w:rsidR="00E13E11" w:rsidRDefault="00C869EB">
      <w:pPr>
        <w:pStyle w:val="Heading3"/>
      </w:pPr>
      <w:bookmarkStart w:id="7" w:name="Xc04749a81a397925aa59cdae9510b9f898858bb"/>
      <w:bookmarkEnd w:id="6"/>
      <w:r>
        <w:t xml:space="preserve"> Advocate / Lawyer, Witnesses, Police Officer (Secondary)</w:t>
      </w:r>
    </w:p>
    <w:tbl>
      <w:tblPr>
        <w:tblStyle w:val="Table"/>
        <w:tblW w:w="5000" w:type="pct"/>
        <w:tblLook w:val="0020" w:firstRow="1" w:lastRow="0" w:firstColumn="0" w:lastColumn="0" w:noHBand="0" w:noVBand="0"/>
      </w:tblPr>
      <w:tblGrid>
        <w:gridCol w:w="389"/>
        <w:gridCol w:w="3449"/>
        <w:gridCol w:w="3197"/>
        <w:gridCol w:w="2315"/>
      </w:tblGrid>
      <w:tr w:rsidR="00E13E11" w14:paraId="23DA6C88" w14:textId="77777777" w:rsidTr="00E13E11">
        <w:trPr>
          <w:cnfStyle w:val="100000000000" w:firstRow="1" w:lastRow="0" w:firstColumn="0" w:lastColumn="0" w:oddVBand="0" w:evenVBand="0" w:oddHBand="0" w:evenHBand="0" w:firstRowFirstColumn="0" w:firstRowLastColumn="0" w:lastRowFirstColumn="0" w:lastRowLastColumn="0"/>
        </w:trPr>
        <w:tc>
          <w:tcPr>
            <w:tcW w:w="0" w:type="auto"/>
          </w:tcPr>
          <w:p w14:paraId="66CA930E" w14:textId="77777777" w:rsidR="00E13E11" w:rsidRDefault="00C869EB">
            <w:pPr>
              <w:pStyle w:val="Compact"/>
            </w:pPr>
            <w:r>
              <w:t>#</w:t>
            </w:r>
          </w:p>
        </w:tc>
        <w:tc>
          <w:tcPr>
            <w:tcW w:w="0" w:type="auto"/>
          </w:tcPr>
          <w:p w14:paraId="04785CA0" w14:textId="77777777" w:rsidR="00E13E11" w:rsidRDefault="00C869EB">
            <w:pPr>
              <w:pStyle w:val="Compact"/>
            </w:pPr>
            <w:r>
              <w:t>Question</w:t>
            </w:r>
          </w:p>
        </w:tc>
        <w:tc>
          <w:tcPr>
            <w:tcW w:w="0" w:type="auto"/>
          </w:tcPr>
          <w:p w14:paraId="1886261E" w14:textId="77777777" w:rsidR="00E13E11" w:rsidRDefault="00C869EB">
            <w:pPr>
              <w:pStyle w:val="Compact"/>
            </w:pPr>
            <w:r>
              <w:t>Answer</w:t>
            </w:r>
          </w:p>
        </w:tc>
        <w:tc>
          <w:tcPr>
            <w:tcW w:w="0" w:type="auto"/>
          </w:tcPr>
          <w:p w14:paraId="6D710504" w14:textId="77777777" w:rsidR="00E13E11" w:rsidRDefault="00C869EB">
            <w:pPr>
              <w:pStyle w:val="Compact"/>
            </w:pPr>
            <w:r>
              <w:t>Law Reference</w:t>
            </w:r>
          </w:p>
        </w:tc>
      </w:tr>
      <w:tr w:rsidR="00E13E11" w14:paraId="2D109B33" w14:textId="77777777">
        <w:tc>
          <w:tcPr>
            <w:tcW w:w="0" w:type="auto"/>
          </w:tcPr>
          <w:p w14:paraId="0D825D79" w14:textId="77777777" w:rsidR="00E13E11" w:rsidRDefault="00C869EB">
            <w:pPr>
              <w:pStyle w:val="Compact"/>
            </w:pPr>
            <w:r>
              <w:t>1</w:t>
            </w:r>
          </w:p>
        </w:tc>
        <w:tc>
          <w:tcPr>
            <w:tcW w:w="0" w:type="auto"/>
          </w:tcPr>
          <w:p w14:paraId="5D48AA0C" w14:textId="77777777" w:rsidR="00E13E11" w:rsidRDefault="00C869EB">
            <w:pPr>
              <w:pStyle w:val="Compact"/>
            </w:pPr>
            <w:r>
              <w:t>Can witnesses to the Nikah be called to prove the agreed Mehr where the Nikahnama is silent or the amount is disputed?</w:t>
            </w:r>
          </w:p>
        </w:tc>
        <w:tc>
          <w:tcPr>
            <w:tcW w:w="0" w:type="auto"/>
          </w:tcPr>
          <w:p w14:paraId="47B065F3" w14:textId="77777777" w:rsidR="00E13E11" w:rsidRDefault="00C869EB">
            <w:pPr>
              <w:pStyle w:val="Compact"/>
            </w:pPr>
            <w:r>
              <w:t>Yes. Oral testimony of witnesses present at the Nikah can be led to establish the agreed Mehr.</w:t>
            </w:r>
          </w:p>
        </w:tc>
        <w:tc>
          <w:tcPr>
            <w:tcW w:w="0" w:type="auto"/>
          </w:tcPr>
          <w:p w14:paraId="55440214" w14:textId="77777777" w:rsidR="00E13E11" w:rsidRDefault="00C869EB">
            <w:pPr>
              <w:pStyle w:val="Compact"/>
            </w:pPr>
            <w:r>
              <w:t>QSO 1984, Art. 17, 71</w:t>
            </w:r>
          </w:p>
        </w:tc>
      </w:tr>
      <w:tr w:rsidR="00E13E11" w14:paraId="12809CCA" w14:textId="77777777">
        <w:tc>
          <w:tcPr>
            <w:tcW w:w="0" w:type="auto"/>
          </w:tcPr>
          <w:p w14:paraId="711EB683" w14:textId="77777777" w:rsidR="00E13E11" w:rsidRDefault="00C869EB">
            <w:pPr>
              <w:pStyle w:val="Compact"/>
            </w:pPr>
            <w:r>
              <w:t>2</w:t>
            </w:r>
          </w:p>
        </w:tc>
        <w:tc>
          <w:tcPr>
            <w:tcW w:w="0" w:type="auto"/>
          </w:tcPr>
          <w:p w14:paraId="424CA844" w14:textId="77777777" w:rsidR="00E13E11" w:rsidRDefault="00C869EB">
            <w:pPr>
              <w:pStyle w:val="Compact"/>
            </w:pPr>
            <w:r>
              <w:t>What is the police officer’s role in the execution of a Mehr decree?</w:t>
            </w:r>
          </w:p>
        </w:tc>
        <w:tc>
          <w:tcPr>
            <w:tcW w:w="0" w:type="auto"/>
          </w:tcPr>
          <w:p w14:paraId="11E0091B" w14:textId="77777777" w:rsidR="00E13E11" w:rsidRDefault="00C869EB">
            <w:pPr>
              <w:pStyle w:val="Compact"/>
            </w:pPr>
            <w:r>
              <w:t>Assisting in execution or attachment proceedings if the husband does not voluntarily satisfy the decree.</w:t>
            </w:r>
          </w:p>
        </w:tc>
        <w:tc>
          <w:tcPr>
            <w:tcW w:w="0" w:type="auto"/>
          </w:tcPr>
          <w:p w14:paraId="5ACA0076" w14:textId="77777777" w:rsidR="00E13E11" w:rsidRDefault="00C869EB">
            <w:pPr>
              <w:pStyle w:val="Compact"/>
            </w:pPr>
            <w:r>
              <w:t>Family Courts Act 1964, s.17A; CPC 1908 execution provisions</w:t>
            </w:r>
          </w:p>
        </w:tc>
      </w:tr>
    </w:tbl>
    <w:p w14:paraId="6B0BB6C4" w14:textId="77777777" w:rsidR="00E13E11" w:rsidRDefault="00E51FAD">
      <w:r>
        <w:rPr>
          <w:noProof/>
        </w:rPr>
      </w:r>
      <w:r w:rsidR="00E51FAD">
        <w:rPr>
          <w:noProof/>
        </w:rPr>
        <w:pict w14:anchorId="2913073E">
          <v:rect id="_x0000_i1026" style="width:0;height:1.5pt" o:hralign="center" o:hrstd="t" o:hr="t"/>
        </w:pict>
      </w:r>
    </w:p>
    <w:p w14:paraId="57BD0B4C" w14:textId="6C32BCFD" w:rsidR="00E13E11" w:rsidRDefault="00E13E11" w:rsidP="005B0E9C">
      <w:bookmarkStart w:id="8" w:name="disclaimer"/>
      <w:bookmarkEnd w:id="7"/>
      <w:bookmarkEnd w:id="3"/>
    </w:p>
    <w:bookmarkEnd w:id="8"/>
    <w:bookmarkEnd w:id="2"/>
    <w:sectPr w:rsidR="00E13E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AF125D" w14:textId="77777777" w:rsidR="00C869EB" w:rsidRDefault="00C869EB">
      <w:pPr>
        <w:spacing w:after="0"/>
      </w:pPr>
      <w:r>
        <w:separator/>
      </w:r>
    </w:p>
  </w:endnote>
  <w:endnote w:type="continuationSeparator" w:id="0">
    <w:p w14:paraId="4F93E355" w14:textId="77777777" w:rsidR="00C869EB" w:rsidRDefault="00C869E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11E27B" w14:textId="77777777" w:rsidR="00E13E11" w:rsidRDefault="00C869EB">
      <w:r>
        <w:separator/>
      </w:r>
    </w:p>
  </w:footnote>
  <w:footnote w:type="continuationSeparator" w:id="0">
    <w:p w14:paraId="6F08C72C" w14:textId="77777777" w:rsidR="00E13E11" w:rsidRDefault="00C869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FFFFFFF"/>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66037043">
    <w:abstractNumId w:val="0"/>
  </w:num>
  <w:num w:numId="2" w16cid:durableId="5210133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461197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revisionView w:inkAnnotations="0"/>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E11"/>
    <w:rsid w:val="001A0640"/>
    <w:rsid w:val="005B0E9C"/>
    <w:rsid w:val="00676D34"/>
    <w:rsid w:val="006D7692"/>
    <w:rsid w:val="0071732C"/>
    <w:rsid w:val="00787D0F"/>
    <w:rsid w:val="00815CD8"/>
    <w:rsid w:val="0096243B"/>
    <w:rsid w:val="00A823C0"/>
    <w:rsid w:val="00A87002"/>
    <w:rsid w:val="00C869EB"/>
    <w:rsid w:val="00E13E11"/>
    <w:rsid w:val="00E51FAD"/>
    <w:rsid w:val="00EC383C"/>
    <w:rsid w:val="00F645B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2954C9D7"/>
  <w15:docId w15:val="{D3FD6536-02E4-544E-9786-5C0E4B97B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1F3864"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1F3864"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1F3864"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1F3864"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1F3864"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1F3864"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1F3864"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1F3864"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1F386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1F3864" w:themeColor="accen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1F3864"/>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Borders>
        <w:top w:val="single" w:sz="4" w:space="0" w:color="B8C4D9"/>
        <w:left w:val="single" w:sz="4" w:space="0" w:color="B8C4D9"/>
        <w:bottom w:val="single" w:sz="4" w:space="0" w:color="B8C4D9"/>
        <w:right w:val="single" w:sz="4" w:space="0" w:color="B8C4D9"/>
        <w:insideH w:val="single" w:sz="4" w:space="0" w:color="B8C4D9"/>
        <w:insideV w:val="single" w:sz="4" w:space="0" w:color="B8C4D9"/>
      </w:tblBorders>
      <w:tblCellMar>
        <w:top w:w="60" w:type="dxa"/>
        <w:left w:w="120" w:type="dxa"/>
        <w:bottom w:w="60" w:type="dxa"/>
        <w:right w:w="120" w:type="dxa"/>
      </w:tblCellMar>
    </w:tblPr>
    <w:tblStylePr w:type="firstRow">
      <w:rPr>
        <w:b/>
        <w:color w:val="FFFFFF"/>
      </w:rPr>
      <w:tblPr>
        <w:jc w:val="left"/>
      </w:tblPr>
      <w:trPr>
        <w:tblHeader/>
        <w:jc w:val="left"/>
      </w:trPr>
      <w:tcPr>
        <w:tcBorders>
          <w:bottom w:val="single" w:sz="4" w:space="0" w:color="1F3864"/>
        </w:tcBorders>
        <w:shd w:val="clear" w:color="auto" w:fill="1F3864"/>
        <w:vAlign w:val="center"/>
      </w:tcPr>
    </w:tblStylePr>
    <w:tblStylePr w:type="band1Horz">
      <w:tblPr/>
      <w:tcPr>
        <w:shd w:val="clear" w:color="auto" w:fill="EEF1F7"/>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F386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17294A"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1F3864"/>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651</Words>
  <Characters>3713</Characters>
  <Application>Microsoft Office Word</Application>
  <DocSecurity>0</DocSecurity>
  <Lines>30</Lines>
  <Paragraphs>8</Paragraphs>
  <ScaleCrop>false</ScaleCrop>
  <Company/>
  <LinksUpToDate>false</LinksUpToDate>
  <CharactersWithSpaces>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Pakistan Family Law System</dc:title>
  <dc:creator/>
  <cp:keywords/>
  <cp:lastModifiedBy>hareem124@outlook.com</cp:lastModifiedBy>
  <cp:revision>2</cp:revision>
  <dcterms:created xsi:type="dcterms:W3CDTF">2026-08-03T07:06:00Z</dcterms:created>
  <dcterms:modified xsi:type="dcterms:W3CDTF">2026-08-03T07:06:00Z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Question Bank ��� Reference Edition</vt:lpwstr>
  </property>
</Properties>
</file>