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r>
    </w:p>
    <w:p w:rsidR="00000000" w:rsidDel="00000000" w:rsidP="00000000" w:rsidRDefault="00000000" w:rsidRPr="00000000" w14:paraId="00000002">
      <w:pPr>
        <w:pStyle w:val="Subtitle"/>
        <w:rPr>
          <w:u w:val="single"/>
        </w:rPr>
      </w:pPr>
      <w:r w:rsidDel="00000000" w:rsidR="00000000" w:rsidRPr="00000000">
        <w:rPr>
          <w:u w:val="single"/>
          <w:rtl w:val="0"/>
        </w:rPr>
        <w:t xml:space="preserve">Question Bank </w:t>
      </w:r>
    </w:p>
    <w:bookmarkStart w:colFirst="0" w:colLast="0" w:name="bookmark=id.9pgxv2wmxqlz" w:id="0"/>
    <w:bookmarkEnd w:id="0"/>
    <w:bookmarkStart w:colFirst="0" w:colLast="0" w:name="bookmark=id.reecz9wgl5co" w:id="1"/>
    <w:bookmarkEnd w:id="1"/>
    <w:p w:rsidR="00000000" w:rsidDel="00000000" w:rsidP="00000000" w:rsidRDefault="00000000" w:rsidRPr="00000000" w14:paraId="00000003">
      <w:pPr>
        <w:pStyle w:val="Heading2"/>
        <w:rPr>
          <w:u w:val="single"/>
        </w:rPr>
      </w:pPr>
      <w:r w:rsidDel="00000000" w:rsidR="00000000" w:rsidRPr="00000000">
        <w:rPr>
          <w:rtl w:val="0"/>
        </w:rPr>
        <w:t xml:space="preserve"> </w:t>
      </w:r>
      <w:r w:rsidDel="00000000" w:rsidR="00000000" w:rsidRPr="00000000">
        <w:rPr>
          <w:u w:val="single"/>
          <w:rtl w:val="0"/>
        </w:rPr>
        <w:t xml:space="preserve">CHILD CUSTODY (HIZANAT)</w:t>
      </w:r>
    </w:p>
    <w:bookmarkStart w:colFirst="0" w:colLast="0" w:name="bookmark=id.8z13x0hh3dek" w:id="2"/>
    <w:bookmarkEnd w:id="2"/>
    <w:p w:rsidR="00000000" w:rsidDel="00000000" w:rsidP="00000000" w:rsidRDefault="00000000" w:rsidRPr="00000000" w14:paraId="00000004">
      <w:pPr>
        <w:pStyle w:val="Heading3"/>
        <w:rPr/>
      </w:pPr>
      <w:r w:rsidDel="00000000" w:rsidR="00000000" w:rsidRPr="00000000">
        <w:rPr>
          <w:rtl w:val="0"/>
        </w:rPr>
        <w:t xml:space="preserve">Mother</w:t>
      </w:r>
    </w:p>
    <w:tbl>
      <w:tblPr>
        <w:tblStyle w:val="Table1"/>
        <w:tblW w:w="9350.0" w:type="dxa"/>
        <w:jc w:val="left"/>
        <w:tblBorders>
          <w:top w:color="b8c4d9" w:space="0" w:sz="4" w:val="single"/>
          <w:left w:color="b8c4d9" w:space="0" w:sz="4" w:val="single"/>
          <w:bottom w:color="b8c4d9" w:space="0" w:sz="4" w:val="single"/>
          <w:right w:color="b8c4d9" w:space="0" w:sz="4" w:val="single"/>
          <w:insideH w:color="b8c4d9" w:space="0" w:sz="4" w:val="single"/>
          <w:insideV w:color="b8c4d9" w:space="0" w:sz="4" w:val="single"/>
        </w:tblBorders>
        <w:tblLayout w:type="fixed"/>
        <w:tblLook w:val="0020"/>
      </w:tblPr>
      <w:tblGrid>
        <w:gridCol w:w="389"/>
        <w:gridCol w:w="2480"/>
        <w:gridCol w:w="3888"/>
        <w:gridCol w:w="2593"/>
        <w:tblGridChange w:id="0">
          <w:tblGrid>
            <w:gridCol w:w="389"/>
            <w:gridCol w:w="2480"/>
            <w:gridCol w:w="3888"/>
            <w:gridCol w:w="2593"/>
          </w:tblGrid>
        </w:tblGridChange>
      </w:tblGrid>
      <w:tr>
        <w:trPr>
          <w:cantSplit w:val="0"/>
          <w:tblHeader w:val="1"/>
        </w:trPr>
        <w:tc>
          <w:tcPr>
            <w:shd w:fill="auto" w:val="cle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w:t>
            </w:r>
          </w:p>
        </w:tc>
        <w:tc>
          <w:tcPr>
            <w:shd w:fill="auto" w:val="clea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Question</w:t>
            </w:r>
          </w:p>
        </w:tc>
        <w:tc>
          <w:tcPr>
            <w:shd w:fill="auto" w:val="cle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Answer</w:t>
            </w:r>
          </w:p>
        </w:tc>
        <w:tc>
          <w:tcPr>
            <w:shd w:fill="auto" w:val="cle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Law Reference</w:t>
            </w:r>
          </w:p>
        </w:tc>
      </w:tr>
      <w:tr>
        <w:trPr>
          <w:cantSplit w:val="0"/>
          <w:tblHeader w:val="0"/>
        </w:trPr>
        <w:tc>
          <w:tcPr>
            <w:shd w:fill="auto" w:val="cle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1</w:t>
            </w:r>
          </w:p>
        </w:tc>
        <w:tc>
          <w:tcPr>
            <w:shd w:fill="auto" w:val="cle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What is the mother’s right of Hizanat (custody)?</w:t>
            </w:r>
          </w:p>
        </w:tc>
        <w:tc>
          <w:tcPr>
            <w:shd w:fill="auto" w:val="cle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Under Muslim personal law, the mother has a preferential right to custody of young children — commonly cited as sons until age seven and daughters until puberty — subject to her fitness and to the paramount consideration of the child’s welfare.</w:t>
            </w:r>
          </w:p>
        </w:tc>
        <w:tc>
          <w:tcPr>
            <w:tcBorders>
              <w:bottom w:color="000000" w:space="0" w:sz="4" w:val="single"/>
            </w:tcBorders>
            <w:shd w:fill="auto" w:val="cle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Guardians and Wards Act 1890, s.17; the Muslim personal law principle of Hizanat as recognised by Pakistani courts</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2</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Can the mother lose custody upon remarriage?</w:t>
            </w:r>
          </w:p>
        </w:tc>
        <w:tc>
          <w:tcPr>
            <w:tcBorders>
              <w:right w:color="000000" w:space="0" w:sz="4" w:val="single"/>
            </w:tcBorders>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Not automatically. Courts examine whether the child’s welfare is still best served with the mother despite the remarriage; remarriage to someone unrelated to the child (Ajnabi) is a factor but not an absolute bar, particularly for older children or where welfare otherwise favours the mother.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G&amp;WA 1890, s.17; case law on the welfare principle</w:t>
            </w:r>
          </w:p>
        </w:tc>
      </w:tr>
      <w:tr>
        <w:trPr>
          <w:cantSplit w:val="0"/>
          <w:tblHeader w:val="0"/>
        </w:trPr>
        <w:tc>
          <w:tcPr>
            <w:shd w:fill="auto" w:val="cle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3</w:t>
            </w:r>
          </w:p>
        </w:tc>
        <w:tc>
          <w:tcPr>
            <w:shd w:fill="auto" w:val="cle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What is the paramount consideration in a custody dispute?</w:t>
            </w:r>
          </w:p>
        </w:tc>
        <w:tc>
          <w:tcPr>
            <w:shd w:fill="auto"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The welfare of the minor is the paramount consideration, overriding the technical or preferential legal right of either parent.</w:t>
            </w:r>
          </w:p>
        </w:tc>
        <w:tc>
          <w:tcPr>
            <w:tcBorders>
              <w:top w:color="000000" w:space="0" w:sz="4" w:val="single"/>
            </w:tcBorders>
            <w:shd w:fill="auto"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Guardians and Wards Act 1890, s.17(2)</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4</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Which court has jurisdiction over custody matters?</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Since amendments made in 2002, the Family Court, rather than the Guardian Court acting under the G&amp;WA alone, has jurisdiction to decide custody and guardianship matters in a consolidated suit.</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Family Courts Act 1964, s.5 &amp; Schedule, as amended, transferring guardianship and custody jurisdiction to Family Courts in most provinces</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5</w:t>
            </w:r>
          </w:p>
        </w:tc>
        <w:tc>
          <w:tcPr>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Are the “age seven for sons, puberty for daughters” Hizanat thresholds treated as rigid legal cut-offs by Family Courts?</w:t>
            </w:r>
          </w:p>
        </w:tc>
        <w:tc>
          <w:tcPr>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No. These are traditionally cited starting points for the mother’s preferential right, but courts consistently subordinate them to the paramount welfare test, and custody frequently continues with the mother well beyond these ages where welfare so requires.</w:t>
            </w:r>
          </w:p>
        </w:tc>
        <w:tc>
          <w:tcPr>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Guardians and Wards Act 1890, s.17(2)</w:t>
            </w:r>
          </w:p>
        </w:tc>
      </w:tr>
    </w:tbl>
    <w:bookmarkStart w:colFirst="0" w:colLast="0" w:name="bookmark=id.b2lkzt36394s" w:id="3"/>
    <w:bookmarkEnd w:id="3"/>
    <w:p w:rsidR="00000000" w:rsidDel="00000000" w:rsidP="00000000" w:rsidRDefault="00000000" w:rsidRPr="00000000" w14:paraId="0000001D">
      <w:pPr>
        <w:pStyle w:val="Heading3"/>
        <w:rPr/>
      </w:pPr>
      <w:r w:rsidDel="00000000" w:rsidR="00000000" w:rsidRPr="00000000">
        <w:rPr>
          <w:rtl w:val="0"/>
        </w:rPr>
        <w:t xml:space="preserve">Father</w:t>
      </w:r>
    </w:p>
    <w:tbl>
      <w:tblPr>
        <w:tblStyle w:val="Table2"/>
        <w:tblW w:w="9350.0" w:type="dxa"/>
        <w:jc w:val="left"/>
        <w:tblBorders>
          <w:top w:color="b8c4d9" w:space="0" w:sz="4" w:val="single"/>
          <w:left w:color="b8c4d9" w:space="0" w:sz="4" w:val="single"/>
          <w:bottom w:color="b8c4d9" w:space="0" w:sz="4" w:val="single"/>
          <w:right w:color="b8c4d9" w:space="0" w:sz="4" w:val="single"/>
          <w:insideH w:color="b8c4d9" w:space="0" w:sz="4" w:val="single"/>
          <w:insideV w:color="b8c4d9" w:space="0" w:sz="4" w:val="single"/>
        </w:tblBorders>
        <w:tblLayout w:type="fixed"/>
        <w:tblLook w:val="0020"/>
      </w:tblPr>
      <w:tblGrid>
        <w:gridCol w:w="389"/>
        <w:gridCol w:w="2716"/>
        <w:gridCol w:w="3937"/>
        <w:gridCol w:w="2308"/>
        <w:tblGridChange w:id="0">
          <w:tblGrid>
            <w:gridCol w:w="389"/>
            <w:gridCol w:w="2716"/>
            <w:gridCol w:w="3937"/>
            <w:gridCol w:w="2308"/>
          </w:tblGrid>
        </w:tblGridChange>
      </w:tblGrid>
      <w:tr>
        <w:trPr>
          <w:cantSplit w:val="0"/>
          <w:tblHeader w:val="1"/>
        </w:trPr>
        <w:tc>
          <w:tcPr>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w:t>
            </w:r>
          </w:p>
        </w:tc>
        <w:tc>
          <w:tcPr>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Question</w:t>
            </w:r>
          </w:p>
        </w:tc>
        <w:tc>
          <w:tcPr>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Answer</w:t>
            </w:r>
          </w:p>
        </w:tc>
        <w:tc>
          <w:tcPr>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Law Reference</w:t>
            </w:r>
          </w:p>
        </w:tc>
      </w:tr>
      <w:tr>
        <w:trPr>
          <w:cantSplit w:val="0"/>
          <w:tblHeader w:val="0"/>
        </w:trPr>
        <w:tc>
          <w:tcPr>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1</w:t>
            </w:r>
          </w:p>
        </w:tc>
        <w:tc>
          <w:tcPr>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Is the father automatically entitled to custody after the mother’s Hizanat period ends?</w:t>
            </w:r>
          </w:p>
        </w:tc>
        <w:tc>
          <w:tcPr>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The father is generally the natural guardian and can seek custody once the child crosses the age threshold typically associated with maternal Hizanat, but the court still applies the welfare test rather than an automatic transfer.</w:t>
            </w:r>
          </w:p>
        </w:tc>
        <w:tc>
          <w:tcPr>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G&amp;WA 1890, s.17; s.19; Muslim personal law</w:t>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2</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Can the father be denied custody even after the child reaches the customary age limit?</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Yes, if the child’s welfare requires continued custody with the mother or another suitable person.</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G&amp;WA 1890, s.17(2), welfare paramount</w:t>
            </w:r>
          </w:p>
        </w:tc>
      </w:tr>
      <w:tr>
        <w:trPr>
          <w:cantSplit w:val="0"/>
          <w:tblHeader w:val="0"/>
        </w:trPr>
        <w:tc>
          <w:tcPr>
            <w:shd w:fill="auto"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3</w:t>
            </w:r>
          </w:p>
        </w:tc>
        <w:tc>
          <w:tcPr>
            <w:shd w:fill="auto"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Does the father retain a duty to maintain the child even without custody?</w:t>
            </w:r>
          </w:p>
        </w:tc>
        <w:tc>
          <w:tcPr>
            <w:shd w:fill="auto"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Yes. The maintenance obligation is independent of custody.</w:t>
            </w:r>
          </w:p>
        </w:tc>
        <w:tc>
          <w:tcPr>
            <w:shd w:fill="auto"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MFLO 1961, s.9, by extension; Family Courts Act 1964</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4</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If the mother relocates to another city or country with the child, does the father need fresh custody proceedings to seek visitation or a modification of custody?</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He may file an application for modification or variation of the existing custody or visitation order before the Family Court of competent jurisdiction, citing the change in circumstances, namely the relocation, as grounds.</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Family Courts Act 1964, s.5 &amp; Schedule; G&amp;WA 1890, s.17, variation on changed circumstances</w:t>
            </w:r>
          </w:p>
        </w:tc>
      </w:tr>
      <w:tr>
        <w:trPr>
          <w:cantSplit w:val="0"/>
          <w:tblHeader w:val="0"/>
        </w:trPr>
        <w:tc>
          <w:tcPr>
            <w:shd w:fill="auto"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5</w:t>
            </w:r>
          </w:p>
        </w:tc>
        <w:tc>
          <w:tcPr>
            <w:shd w:fill="auto"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Can a father seek custody of a young child, under the customary age threshold, if the mother is shown to be unfit?</w:t>
            </w:r>
          </w:p>
        </w:tc>
        <w:tc>
          <w:tcPr>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Yes. The mother’s preferential right of Hizanat below the customary age threshold is not absolute; where it is established that she is unfit — for example, due to proven neglect or an inability to care for the child — the court can award custody to the father or another suitable person if that better serves the child’s welfare.</w:t>
            </w:r>
          </w:p>
        </w:tc>
        <w:tc>
          <w:tcPr>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Guardians and Wards Act 1890, s.17</w:t>
            </w:r>
          </w:p>
        </w:tc>
      </w:tr>
    </w:tbl>
    <w:bookmarkStart w:colFirst="0" w:colLast="0" w:name="bookmark=id.y9g2etrg06ru" w:id="4"/>
    <w:bookmarkEnd w:id="4"/>
    <w:p w:rsidR="00000000" w:rsidDel="00000000" w:rsidP="00000000" w:rsidRDefault="00000000" w:rsidRPr="00000000" w14:paraId="00000036">
      <w:pPr>
        <w:pStyle w:val="Heading3"/>
        <w:rPr/>
      </w:pPr>
      <w:r w:rsidDel="00000000" w:rsidR="00000000" w:rsidRPr="00000000">
        <w:rPr>
          <w:rtl w:val="0"/>
        </w:rPr>
        <w:t xml:space="preserve">Minor Child</w:t>
      </w:r>
    </w:p>
    <w:tbl>
      <w:tblPr>
        <w:tblStyle w:val="Table3"/>
        <w:tblW w:w="9350.0" w:type="dxa"/>
        <w:jc w:val="left"/>
        <w:tblBorders>
          <w:top w:color="b8c4d9" w:space="0" w:sz="4" w:val="single"/>
          <w:left w:color="b8c4d9" w:space="0" w:sz="4" w:val="single"/>
          <w:bottom w:color="b8c4d9" w:space="0" w:sz="4" w:val="single"/>
          <w:right w:color="b8c4d9" w:space="0" w:sz="4" w:val="single"/>
          <w:insideH w:color="b8c4d9" w:space="0" w:sz="4" w:val="single"/>
          <w:insideV w:color="b8c4d9" w:space="0" w:sz="4" w:val="single"/>
        </w:tblBorders>
        <w:tblLayout w:type="fixed"/>
        <w:tblLook w:val="0020"/>
      </w:tblPr>
      <w:tblGrid>
        <w:gridCol w:w="389"/>
        <w:gridCol w:w="2566"/>
        <w:gridCol w:w="4811"/>
        <w:gridCol w:w="1584"/>
        <w:tblGridChange w:id="0">
          <w:tblGrid>
            <w:gridCol w:w="389"/>
            <w:gridCol w:w="2566"/>
            <w:gridCol w:w="4811"/>
            <w:gridCol w:w="1584"/>
          </w:tblGrid>
        </w:tblGridChange>
      </w:tblGrid>
      <w:tr>
        <w:trPr>
          <w:cantSplit w:val="0"/>
          <w:tblHeader w:val="1"/>
        </w:trPr>
        <w:tc>
          <w:tcPr>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w:t>
            </w:r>
          </w:p>
        </w:tc>
        <w:tc>
          <w:tcPr>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Question</w:t>
            </w:r>
          </w:p>
        </w:tc>
        <w:tc>
          <w:tcPr>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Answer</w:t>
            </w:r>
          </w:p>
        </w:tc>
        <w:tc>
          <w:tcPr>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Law Reference</w:t>
            </w:r>
          </w:p>
        </w:tc>
      </w:tr>
      <w:tr>
        <w:trPr>
          <w:cantSplit w:val="0"/>
          <w:tblHeader w:val="0"/>
        </w:trPr>
        <w:tc>
          <w:tcPr>
            <w:shd w:fill="auto" w:val="cle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1</w:t>
            </w:r>
          </w:p>
        </w:tc>
        <w:tc>
          <w:tcPr>
            <w:shd w:fill="auto"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Is a minor’s own preference considered in custody decisions?</w:t>
            </w:r>
          </w:p>
        </w:tc>
        <w:tc>
          <w:tcPr>
            <w:shd w:fill="auto"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Yes. If the child is of an age to form an intelligent preference, the court may consider, though it is not bound by, the child’s wishes, alongside welfare factors.</w:t>
            </w:r>
          </w:p>
        </w:tc>
        <w:tc>
          <w:tcPr>
            <w:shd w:fill="auto"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G&amp;WA 1890, s.17(3)</w:t>
            </w:r>
          </w:p>
        </w:tc>
      </w:tr>
    </w:tbl>
    <w:bookmarkStart w:colFirst="0" w:colLast="0" w:name="bookmark=id.629jpi35uc7l" w:id="5"/>
    <w:bookmarkEnd w:id="5"/>
    <w:p w:rsidR="00000000" w:rsidDel="00000000" w:rsidP="00000000" w:rsidRDefault="00000000" w:rsidRPr="00000000" w14:paraId="0000003F">
      <w:pPr>
        <w:pStyle w:val="Heading3"/>
        <w:rPr/>
      </w:pPr>
      <w:r w:rsidDel="00000000" w:rsidR="00000000" w:rsidRPr="00000000">
        <w:rPr>
          <w:rtl w:val="0"/>
        </w:rPr>
        <w:t xml:space="preserve">Family Court Judge</w:t>
      </w:r>
    </w:p>
    <w:tbl>
      <w:tblPr>
        <w:tblStyle w:val="Table4"/>
        <w:tblW w:w="9349.999999999998" w:type="dxa"/>
        <w:jc w:val="left"/>
        <w:tblBorders>
          <w:top w:color="b8c4d9" w:space="0" w:sz="4" w:val="single"/>
          <w:left w:color="b8c4d9" w:space="0" w:sz="4" w:val="single"/>
          <w:bottom w:color="b8c4d9" w:space="0" w:sz="4" w:val="single"/>
          <w:right w:color="b8c4d9" w:space="0" w:sz="4" w:val="single"/>
          <w:insideH w:color="b8c4d9" w:space="0" w:sz="4" w:val="single"/>
          <w:insideV w:color="b8c4d9" w:space="0" w:sz="4" w:val="single"/>
        </w:tblBorders>
        <w:tblLayout w:type="fixed"/>
        <w:tblLook w:val="0020"/>
      </w:tblPr>
      <w:tblGrid>
        <w:gridCol w:w="390"/>
        <w:gridCol w:w="2929"/>
        <w:gridCol w:w="3872"/>
        <w:gridCol w:w="2159"/>
        <w:tblGridChange w:id="0">
          <w:tblGrid>
            <w:gridCol w:w="390"/>
            <w:gridCol w:w="2929"/>
            <w:gridCol w:w="3872"/>
            <w:gridCol w:w="2159"/>
          </w:tblGrid>
        </w:tblGridChange>
      </w:tblGrid>
      <w:tr>
        <w:trPr>
          <w:cantSplit w:val="0"/>
          <w:tblHeader w:val="1"/>
        </w:trPr>
        <w:tc>
          <w:tcPr>
            <w:shd w:fill="auto"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w:t>
            </w:r>
          </w:p>
        </w:tc>
        <w:tc>
          <w:tcPr>
            <w:shd w:fill="auto"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Question</w:t>
            </w:r>
          </w:p>
        </w:tc>
        <w:tc>
          <w:tcPr>
            <w:shd w:fill="auto"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Answer</w:t>
            </w:r>
          </w:p>
        </w:tc>
        <w:tc>
          <w:tcPr>
            <w:shd w:fill="auto"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Law Reference</w:t>
            </w:r>
          </w:p>
        </w:tc>
      </w:tr>
      <w:tr>
        <w:trPr>
          <w:cantSplit w:val="0"/>
          <w:tblHeader w:val="0"/>
        </w:trPr>
        <w:tc>
          <w:tcPr>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1</w:t>
            </w:r>
          </w:p>
        </w:tc>
        <w:tc>
          <w:tcPr>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What factors determine the “welfare of the minor”?</w:t>
            </w:r>
          </w:p>
        </w:tc>
        <w:tc>
          <w:tcPr>
            <w:shd w:fill="auto"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The age and sex of the child, health, moral and physical wellbeing, the financial capability and character of the parent or guardian, continuity and stability of environment, and the child’s own wishes if of appropriate age and understanding.</w:t>
            </w:r>
          </w:p>
        </w:tc>
        <w:tc>
          <w:tcPr>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G&amp;WA 1890, s.17; developed extensively in case law</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2</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Can the Family Court appoint a third party, not either parent, as custodian?</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Yes. If neither parent is found fit, custody can be awarded to another suitable relative or guardian in the child’s best interest.</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G&amp;WA 1890, s.7 &amp; 17</w:t>
            </w:r>
          </w:p>
        </w:tc>
      </w:tr>
      <w:tr>
        <w:trPr>
          <w:cantSplit w:val="0"/>
          <w:tblHeader w:val="0"/>
        </w:trPr>
        <w:tc>
          <w:tcPr>
            <w:shd w:fill="auto"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3</w:t>
            </w:r>
          </w:p>
        </w:tc>
        <w:tc>
          <w:tcPr>
            <w:shd w:fill="auto"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Can a custody agreement between spouses, for example within a khula settlement, validly surrender a child’s custody as consideration for the divorce?</w:t>
            </w:r>
          </w:p>
        </w:tc>
        <w:tc>
          <w:tcPr>
            <w:shd w:fill="auto"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No. Such a clause is neither a valid nor an enforceable condition; a minor’s custody is governed by the welfare principle under law and cannot be bartered as consideration in a private agreement between the spouses.</w:t>
            </w:r>
          </w:p>
        </w:tc>
        <w:tc>
          <w:tcPr>
            <w:shd w:fill="auto" w:val="cle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Supreme Court of Pakistan, C.P. No. 4129/2019</w:t>
            </w:r>
          </w:p>
        </w:tc>
      </w:tr>
    </w:tbl>
    <w:bookmarkStart w:colFirst="0" w:colLast="0" w:name="bookmark=id.xecje7it3ska" w:id="6"/>
    <w:bookmarkEnd w:id="6"/>
    <w:p w:rsidR="00000000" w:rsidDel="00000000" w:rsidP="00000000" w:rsidRDefault="00000000" w:rsidRPr="00000000" w14:paraId="00000050">
      <w:pPr>
        <w:pStyle w:val="Heading3"/>
        <w:rPr/>
      </w:pPr>
      <w:r w:rsidDel="00000000" w:rsidR="00000000" w:rsidRPr="00000000">
        <w:rPr>
          <w:rtl w:val="0"/>
        </w:rPr>
        <w:t xml:space="preserve"> Guardian / Next Friend, Child Welfare Officer, Social Welfare Officer, Child Protection Officer, Psychologist, Medical Officer, Police Officer (Secondary)</w:t>
      </w:r>
    </w:p>
    <w:tbl>
      <w:tblPr>
        <w:tblStyle w:val="Table5"/>
        <w:tblW w:w="9350.0" w:type="dxa"/>
        <w:jc w:val="left"/>
        <w:tblBorders>
          <w:top w:color="b8c4d9" w:space="0" w:sz="4" w:val="single"/>
          <w:left w:color="b8c4d9" w:space="0" w:sz="4" w:val="single"/>
          <w:bottom w:color="b8c4d9" w:space="0" w:sz="4" w:val="single"/>
          <w:right w:color="b8c4d9" w:space="0" w:sz="4" w:val="single"/>
          <w:insideH w:color="b8c4d9" w:space="0" w:sz="4" w:val="single"/>
          <w:insideV w:color="b8c4d9" w:space="0" w:sz="4" w:val="single"/>
        </w:tblBorders>
        <w:tblLayout w:type="fixed"/>
        <w:tblLook w:val="0020"/>
      </w:tblPr>
      <w:tblGrid>
        <w:gridCol w:w="389"/>
        <w:gridCol w:w="2518"/>
        <w:gridCol w:w="3570"/>
        <w:gridCol w:w="2873"/>
        <w:tblGridChange w:id="0">
          <w:tblGrid>
            <w:gridCol w:w="389"/>
            <w:gridCol w:w="2518"/>
            <w:gridCol w:w="3570"/>
            <w:gridCol w:w="2873"/>
          </w:tblGrid>
        </w:tblGridChange>
      </w:tblGrid>
      <w:tr>
        <w:trPr>
          <w:cantSplit w:val="0"/>
          <w:tblHeader w:val="1"/>
        </w:trPr>
        <w:tc>
          <w:tcPr>
            <w:shd w:fill="auto"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w:t>
            </w:r>
          </w:p>
        </w:tc>
        <w:tc>
          <w:tcPr>
            <w:shd w:fill="auto"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Question</w:t>
            </w:r>
          </w:p>
        </w:tc>
        <w:tc>
          <w:tcPr>
            <w:shd w:fill="auto"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Answer</w:t>
            </w:r>
          </w:p>
        </w:tc>
        <w:tc>
          <w:tcPr>
            <w:shd w:fill="auto" w:val="cle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Law Reference</w:t>
            </w:r>
          </w:p>
        </w:tc>
      </w:tr>
      <w:tr>
        <w:trPr>
          <w:cantSplit w:val="0"/>
          <w:tblHeader w:val="0"/>
        </w:trPr>
        <w:tc>
          <w:tcPr>
            <w:shd w:fill="auto"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1</w:t>
            </w:r>
          </w:p>
        </w:tc>
        <w:tc>
          <w:tcPr>
            <w:shd w:fill="auto"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Can the court call for a welfare or social investigation report before deciding custody?</w:t>
            </w:r>
          </w:p>
        </w:tc>
        <w:tc>
          <w:tcPr>
            <w:shd w:fill="auto"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Yes. Courts may seek reports from Child or Social Welfare Officers to assess the home environment and the child’s welfare.</w:t>
            </w:r>
          </w:p>
        </w:tc>
        <w:tc>
          <w:tcPr>
            <w:shd w:fill="auto"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G&amp;WA 1890, s.17; provincial Child Protection legislation, e.g. the Punjab Destitute and Neglected Children Act and the Sindh Child Protection Authority Act</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2</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Can a psychologist’s assessment be used as evidence in custody proceedings?</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Yes. Expert opinion on the child’s psychological wellbeing and best interest can be led as evidence.</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Qanun-e-Shahadat Order 1984, Art. 59, expert opinion</w:t>
            </w:r>
          </w:p>
        </w:tc>
      </w:tr>
      <w:tr>
        <w:trPr>
          <w:cantSplit w:val="0"/>
          <w:tblHeader w:val="0"/>
        </w:trPr>
        <w:tc>
          <w:tcPr>
            <w:shd w:fill="auto"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3</w:t>
            </w:r>
          </w:p>
        </w:tc>
        <w:tc>
          <w:tcPr>
            <w:shd w:fill="auto" w:val="cle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What is the police officer’s role in custody matters?</w:t>
            </w:r>
          </w:p>
        </w:tc>
        <w:tc>
          <w:tcPr>
            <w:shd w:fill="auto" w:val="cle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Executing custody orders and assisting in the recovery of a minor illegally retained by one party, for example through a habeas-corpus-style direction or the Family Court’s execution process.</w:t>
            </w:r>
          </w:p>
        </w:tc>
        <w:tc>
          <w:tcPr>
            <w:shd w:fill="auto"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Family Courts Act 1964, s.17A, execution; Guardians and Wards Act 1890</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4</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Can a medical officer be asked to determine a child’s age or health status relevant to custody?</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Yes. A medical examination or age-determination report may be summoned as evidence where age or health is disputed.</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QSO 1984, Art. 59; general Family Court practice</w:t>
            </w:r>
          </w:p>
        </w:tc>
      </w:tr>
    </w:tbl>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p72x5pvcomq" w:id="7"/>
    <w:bookmarkEnd w:id="7"/>
    <w:p w:rsidR="00000000" w:rsidDel="00000000" w:rsidP="00000000" w:rsidRDefault="00000000" w:rsidRPr="00000000" w14:paraId="00000066">
      <w:pPr>
        <w:rPr/>
      </w:pPr>
      <w:r w:rsidDel="00000000" w:rsidR="00000000" w:rsidRPr="00000000">
        <w:pict>
          <v:rect style="width:0.0pt;height:1.5pt" o:hr="t" o:hrstd="t" o:hralign="center" fillcolor="#A0A0A0" stroked="f"/>
        </w:pict>
      </w:r>
      <w:bookmarkStart w:colFirst="0" w:colLast="0" w:name="bookmark=id.7u5p7qmn1den" w:id="8"/>
      <w:bookmarkEnd w:id="8"/>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3864"/>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3864"/>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386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1f3864"/>
    </w:rPr>
  </w:style>
  <w:style w:type="paragraph" w:styleId="Heading5">
    <w:name w:val="heading 5"/>
    <w:basedOn w:val="Normal"/>
    <w:next w:val="Normal"/>
    <w:pPr>
      <w:keepNext w:val="1"/>
      <w:keepLines w:val="1"/>
      <w:spacing w:after="0" w:before="200" w:lineRule="auto"/>
    </w:pPr>
    <w:rPr>
      <w:rFonts w:ascii="Calibri" w:cs="Calibri" w:eastAsia="Calibri" w:hAnsi="Calibri"/>
      <w:color w:val="1f3864"/>
    </w:rPr>
  </w:style>
  <w:style w:type="paragraph" w:styleId="Heading6">
    <w:name w:val="heading 6"/>
    <w:basedOn w:val="Normal"/>
    <w:next w:val="Normal"/>
    <w:pPr>
      <w:keepNext w:val="1"/>
      <w:keepLines w:val="1"/>
      <w:spacing w:after="0" w:before="200" w:lineRule="auto"/>
    </w:pPr>
    <w:rPr>
      <w:rFonts w:ascii="Calibri" w:cs="Calibri" w:eastAsia="Calibri" w:hAnsi="Calibri"/>
      <w:color w:val="1f386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1f3864"/>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1f3864"/>
      <w:sz w:val="30"/>
      <w:szCs w:val="30"/>
    </w:rPr>
  </w:style>
  <w:style w:type="table" w:styleId="Table1">
    <w:basedOn w:val="TableNormal"/>
    <w:tblPr>
      <w:tblStyleRowBandSize w:val="1"/>
      <w:tblStyleColBandSize w:val="1"/>
      <w:tblCellMar>
        <w:top w:w="60.0" w:type="dxa"/>
        <w:left w:w="120.0" w:type="dxa"/>
        <w:bottom w:w="60.0" w:type="dxa"/>
        <w:right w:w="120.0" w:type="dxa"/>
      </w:tblCellMar>
    </w:tblPr>
    <w:tblStylePr w:type="band1Horz">
      <w:tcPr>
        <w:shd w:fill="eef1f7" w:val="clear"/>
      </w:tcPr>
    </w:tblStylePr>
    <w:tblStylePr w:type="firstRow">
      <w:rPr>
        <w:b w:val="1"/>
        <w:bCs w:val="1"/>
        <w:color w:val="ffffff"/>
      </w:rPr>
      <w:tcPr>
        <w:tcBorders>
          <w:bottom w:color="1f3864" w:space="0" w:sz="4" w:val="single"/>
        </w:tcBorders>
        <w:shd w:fill="1f3864" w:val="clear"/>
        <w:vAlign w:val="center"/>
      </w:tcPr>
    </w:tblStylePr>
  </w:style>
  <w:style w:type="table" w:styleId="Table2">
    <w:basedOn w:val="TableNormal"/>
    <w:tblPr>
      <w:tblStyleRowBandSize w:val="1"/>
      <w:tblStyleColBandSize w:val="1"/>
      <w:tblCellMar>
        <w:top w:w="60.0" w:type="dxa"/>
        <w:left w:w="120.0" w:type="dxa"/>
        <w:bottom w:w="60.0" w:type="dxa"/>
        <w:right w:w="120.0" w:type="dxa"/>
      </w:tblCellMar>
    </w:tblPr>
    <w:tblStylePr w:type="band1Horz">
      <w:tcPr>
        <w:shd w:fill="eef1f7" w:val="clear"/>
      </w:tcPr>
    </w:tblStylePr>
    <w:tblStylePr w:type="firstRow">
      <w:rPr>
        <w:b w:val="1"/>
        <w:bCs w:val="1"/>
        <w:color w:val="ffffff"/>
      </w:rPr>
      <w:tcPr>
        <w:tcBorders>
          <w:bottom w:color="1f3864" w:space="0" w:sz="4" w:val="single"/>
        </w:tcBorders>
        <w:shd w:fill="1f3864" w:val="clear"/>
        <w:vAlign w:val="center"/>
      </w:tcPr>
    </w:tblStylePr>
  </w:style>
  <w:style w:type="table" w:styleId="Table3">
    <w:basedOn w:val="TableNormal"/>
    <w:tblPr>
      <w:tblStyleRowBandSize w:val="1"/>
      <w:tblStyleColBandSize w:val="1"/>
      <w:tblCellMar>
        <w:top w:w="60.0" w:type="dxa"/>
        <w:left w:w="120.0" w:type="dxa"/>
        <w:bottom w:w="60.0" w:type="dxa"/>
        <w:right w:w="120.0" w:type="dxa"/>
      </w:tblCellMar>
    </w:tblPr>
    <w:tblStylePr w:type="band1Horz">
      <w:tcPr>
        <w:shd w:fill="eef1f7" w:val="clear"/>
      </w:tcPr>
    </w:tblStylePr>
    <w:tblStylePr w:type="firstRow">
      <w:rPr>
        <w:b w:val="1"/>
        <w:bCs w:val="1"/>
        <w:color w:val="ffffff"/>
      </w:rPr>
      <w:tcPr>
        <w:tcBorders>
          <w:bottom w:color="1f3864" w:space="0" w:sz="4" w:val="single"/>
        </w:tcBorders>
        <w:shd w:fill="1f3864" w:val="clear"/>
        <w:vAlign w:val="center"/>
      </w:tcPr>
    </w:tblStylePr>
  </w:style>
  <w:style w:type="table" w:styleId="Table4">
    <w:basedOn w:val="TableNormal"/>
    <w:tblPr>
      <w:tblStyleRowBandSize w:val="1"/>
      <w:tblStyleColBandSize w:val="1"/>
      <w:tblCellMar>
        <w:top w:w="60.0" w:type="dxa"/>
        <w:left w:w="120.0" w:type="dxa"/>
        <w:bottom w:w="60.0" w:type="dxa"/>
        <w:right w:w="120.0" w:type="dxa"/>
      </w:tblCellMar>
    </w:tblPr>
    <w:tblStylePr w:type="band1Horz">
      <w:tcPr>
        <w:shd w:fill="eef1f7" w:val="clear"/>
      </w:tcPr>
    </w:tblStylePr>
    <w:tblStylePr w:type="firstRow">
      <w:rPr>
        <w:b w:val="1"/>
        <w:bCs w:val="1"/>
        <w:color w:val="ffffff"/>
      </w:rPr>
      <w:tcPr>
        <w:tcBorders>
          <w:bottom w:color="1f3864" w:space="0" w:sz="4" w:val="single"/>
        </w:tcBorders>
        <w:shd w:fill="1f3864" w:val="clear"/>
        <w:vAlign w:val="center"/>
      </w:tcPr>
    </w:tblStylePr>
  </w:style>
  <w:style w:type="table" w:styleId="Table5">
    <w:basedOn w:val="TableNormal"/>
    <w:tblPr>
      <w:tblStyleRowBandSize w:val="1"/>
      <w:tblStyleColBandSize w:val="1"/>
      <w:tblCellMar>
        <w:top w:w="60.0" w:type="dxa"/>
        <w:left w:w="120.0" w:type="dxa"/>
        <w:bottom w:w="60.0" w:type="dxa"/>
        <w:right w:w="120.0" w:type="dxa"/>
      </w:tblCellMar>
    </w:tblPr>
    <w:tblStylePr w:type="band1Horz">
      <w:tcPr>
        <w:shd w:fill="eef1f7" w:val="clear"/>
      </w:tcPr>
    </w:tblStylePr>
    <w:tblStylePr w:type="firstRow">
      <w:rPr>
        <w:b w:val="1"/>
        <w:bCs w:val="1"/>
        <w:color w:val="ffffff"/>
      </w:rPr>
      <w:tcPr>
        <w:tcBorders>
          <w:bottom w:color="1f3864" w:space="0" w:sz="4" w:val="single"/>
        </w:tcBorders>
        <w:shd w:fill="1f3864"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gzUFvKw6DBKV2QVm0zplc/IVRg==">CgMxLjAyD2lkLjlwZ3h2MndteHFsejIPaWQucmVlY3o5d2dsNWNvMg9pZC44ejEzeDBoaDNkZWsyD2lkLmIybGt6dDM2Mzk0czIPaWQueTlnMmV0cmcwNnJ1Mg9pZC42MjlqcGkzNXVjN2wyD2lkLnhlY2plN2l0M3NrYTIPaWQubnA3Mng1cHZjb21xMg9pZC43dTVwN3FtbjFkZW44AHIhMTBRN2RsY3I4V2hQS09rdUlnc2VTd2kySC02TjFFZUxQ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subtitle">
    <vt:lpwstr>Question Bank ��� Reference Edition</vt:lpwstr>
  </property>
</Properties>
</file>