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F35D14" w14:textId="6A81D08A" w:rsidR="00E13E11" w:rsidRDefault="00E13E11" w:rsidP="00815CD8">
      <w:pPr>
        <w:pStyle w:val="Title"/>
        <w:jc w:val="left"/>
      </w:pPr>
    </w:p>
    <w:p w14:paraId="35FA6F4F" w14:textId="021BB626" w:rsidR="00E13E11" w:rsidRDefault="00C869EB" w:rsidP="00321ADE">
      <w:pPr>
        <w:pStyle w:val="Subtitle"/>
      </w:pPr>
      <w:r>
        <w:t xml:space="preserve">Question Bank </w:t>
      </w:r>
      <w:bookmarkStart w:id="0" w:name="pakistan-family-law-system-question-bank"/>
      <w:bookmarkStart w:id="1" w:name="module-8-guardianship"/>
      <w:bookmarkStart w:id="2" w:name="X66323576433a5dd9c5d645df44dfd4d4fceee4c"/>
    </w:p>
    <w:p w14:paraId="3B6F5EAF" w14:textId="6B7D77BE" w:rsidR="00E13E11" w:rsidRDefault="00C869EB">
      <w:pPr>
        <w:pStyle w:val="Heading2"/>
      </w:pPr>
      <w:bookmarkStart w:id="3" w:name="X1e4b9135986375354bb25452b083dbfd309d36a"/>
      <w:bookmarkEnd w:id="2"/>
      <w:bookmarkEnd w:id="1"/>
      <w:r>
        <w:t>RECOVERY OF DOWRY ARTICLES (JAHEZ)</w:t>
      </w:r>
    </w:p>
    <w:p w14:paraId="3A90458D" w14:textId="65DD9CA1" w:rsidR="00E13E11" w:rsidRDefault="00C869EB">
      <w:pPr>
        <w:pStyle w:val="Heading3"/>
      </w:pPr>
      <w:bookmarkStart w:id="4" w:name="wife-3"/>
      <w:r>
        <w:t>Wife</w:t>
      </w:r>
    </w:p>
    <w:tbl>
      <w:tblPr>
        <w:tblStyle w:val="Table"/>
        <w:tblW w:w="5000" w:type="pct"/>
        <w:tblLook w:val="0020" w:firstRow="1" w:lastRow="0" w:firstColumn="0" w:lastColumn="0" w:noHBand="0" w:noVBand="0"/>
      </w:tblPr>
      <w:tblGrid>
        <w:gridCol w:w="389"/>
        <w:gridCol w:w="2642"/>
        <w:gridCol w:w="4051"/>
        <w:gridCol w:w="2268"/>
      </w:tblGrid>
      <w:tr w:rsidR="00E13E11" w14:paraId="3FCD4AFB" w14:textId="77777777" w:rsidTr="00E13E11">
        <w:trPr>
          <w:cnfStyle w:val="100000000000" w:firstRow="1" w:lastRow="0" w:firstColumn="0" w:lastColumn="0" w:oddVBand="0" w:evenVBand="0" w:oddHBand="0" w:evenHBand="0" w:firstRowFirstColumn="0" w:firstRowLastColumn="0" w:lastRowFirstColumn="0" w:lastRowLastColumn="0"/>
        </w:trPr>
        <w:tc>
          <w:tcPr>
            <w:tcW w:w="0" w:type="auto"/>
          </w:tcPr>
          <w:p w14:paraId="4BC9143A" w14:textId="77777777" w:rsidR="00E13E11" w:rsidRDefault="00C869EB">
            <w:pPr>
              <w:pStyle w:val="Compact"/>
            </w:pPr>
            <w:r>
              <w:t>#</w:t>
            </w:r>
          </w:p>
        </w:tc>
        <w:tc>
          <w:tcPr>
            <w:tcW w:w="0" w:type="auto"/>
          </w:tcPr>
          <w:p w14:paraId="7C19E562" w14:textId="77777777" w:rsidR="00E13E11" w:rsidRDefault="00C869EB">
            <w:pPr>
              <w:pStyle w:val="Compact"/>
            </w:pPr>
            <w:r>
              <w:t>Question</w:t>
            </w:r>
          </w:p>
        </w:tc>
        <w:tc>
          <w:tcPr>
            <w:tcW w:w="0" w:type="auto"/>
          </w:tcPr>
          <w:p w14:paraId="0881EB86" w14:textId="77777777" w:rsidR="00E13E11" w:rsidRDefault="00C869EB">
            <w:pPr>
              <w:pStyle w:val="Compact"/>
            </w:pPr>
            <w:r>
              <w:t>Answer</w:t>
            </w:r>
          </w:p>
        </w:tc>
        <w:tc>
          <w:tcPr>
            <w:tcW w:w="0" w:type="auto"/>
          </w:tcPr>
          <w:p w14:paraId="7B351E03" w14:textId="77777777" w:rsidR="00E13E11" w:rsidRDefault="00C869EB">
            <w:pPr>
              <w:pStyle w:val="Compact"/>
            </w:pPr>
            <w:r>
              <w:t>Law Reference</w:t>
            </w:r>
          </w:p>
        </w:tc>
      </w:tr>
      <w:tr w:rsidR="00E13E11" w14:paraId="73B8C84E" w14:textId="77777777">
        <w:tc>
          <w:tcPr>
            <w:tcW w:w="0" w:type="auto"/>
          </w:tcPr>
          <w:p w14:paraId="41C25C9F" w14:textId="77777777" w:rsidR="00E13E11" w:rsidRDefault="00C869EB">
            <w:pPr>
              <w:pStyle w:val="Compact"/>
            </w:pPr>
            <w:r>
              <w:t>1</w:t>
            </w:r>
          </w:p>
        </w:tc>
        <w:tc>
          <w:tcPr>
            <w:tcW w:w="0" w:type="auto"/>
          </w:tcPr>
          <w:p w14:paraId="586806A5" w14:textId="77777777" w:rsidR="00E13E11" w:rsidRDefault="00C869EB">
            <w:pPr>
              <w:pStyle w:val="Compact"/>
            </w:pPr>
            <w:r>
              <w:t>What is a “dowry articles recovery” suit?</w:t>
            </w:r>
          </w:p>
        </w:tc>
        <w:tc>
          <w:tcPr>
            <w:tcW w:w="0" w:type="auto"/>
          </w:tcPr>
          <w:p w14:paraId="29D3BB57" w14:textId="77777777" w:rsidR="00E13E11" w:rsidRDefault="00C869EB">
            <w:pPr>
              <w:pStyle w:val="Compact"/>
            </w:pPr>
            <w:r>
              <w:t>A suit filed by the wife to recover articles and gifts given to her at or around the marriage, by her own family or as received gifts, that remain in the husband’s or in-laws’ custody after the marital breakdown.</w:t>
            </w:r>
          </w:p>
        </w:tc>
        <w:tc>
          <w:tcPr>
            <w:tcW w:w="0" w:type="auto"/>
          </w:tcPr>
          <w:p w14:paraId="3AC6B273" w14:textId="77777777" w:rsidR="00E13E11" w:rsidRDefault="00C869EB">
            <w:pPr>
              <w:pStyle w:val="Compact"/>
            </w:pPr>
            <w:r>
              <w:t>Family Courts Act 1964, Schedule (dowry and bridal gifts); Dowry and Bridal Gifts (Restriction) Act 1976</w:t>
            </w:r>
          </w:p>
        </w:tc>
      </w:tr>
      <w:tr w:rsidR="00E13E11" w14:paraId="55D7B36D" w14:textId="77777777">
        <w:tc>
          <w:tcPr>
            <w:tcW w:w="0" w:type="auto"/>
          </w:tcPr>
          <w:p w14:paraId="12E95312" w14:textId="77777777" w:rsidR="00E13E11" w:rsidRDefault="00C869EB">
            <w:pPr>
              <w:pStyle w:val="Compact"/>
            </w:pPr>
            <w:r>
              <w:t>2</w:t>
            </w:r>
          </w:p>
        </w:tc>
        <w:tc>
          <w:tcPr>
            <w:tcW w:w="0" w:type="auto"/>
          </w:tcPr>
          <w:p w14:paraId="1C24A13F" w14:textId="77777777" w:rsidR="00E13E11" w:rsidRDefault="00C869EB">
            <w:pPr>
              <w:pStyle w:val="Compact"/>
            </w:pPr>
            <w:r>
              <w:t>Is there a legal list or inventory requirement for dowry articles?</w:t>
            </w:r>
          </w:p>
        </w:tc>
        <w:tc>
          <w:tcPr>
            <w:tcW w:w="0" w:type="auto"/>
          </w:tcPr>
          <w:p w14:paraId="444AC135" w14:textId="77777777" w:rsidR="00E13E11" w:rsidRDefault="00C869EB">
            <w:pPr>
              <w:pStyle w:val="Compact"/>
            </w:pPr>
            <w:r>
              <w:t>Under the Dowry and Bridal Gifts (Restriction) Act 1976, a list of dowry and bridal gifts given must be prepared and signed by both parties at the time of marriage, and this becomes crucial evidence in a recovery suit.</w:t>
            </w:r>
          </w:p>
        </w:tc>
        <w:tc>
          <w:tcPr>
            <w:tcW w:w="0" w:type="auto"/>
          </w:tcPr>
          <w:p w14:paraId="02E2E77F" w14:textId="77777777" w:rsidR="00E13E11" w:rsidRDefault="00C869EB">
            <w:pPr>
              <w:pStyle w:val="Compact"/>
            </w:pPr>
            <w:r>
              <w:t>Dowry and Bridal Gifts (Restriction) Act 1976, s.4–6</w:t>
            </w:r>
          </w:p>
        </w:tc>
      </w:tr>
      <w:tr w:rsidR="00E13E11" w14:paraId="20E55F9B" w14:textId="77777777">
        <w:tc>
          <w:tcPr>
            <w:tcW w:w="0" w:type="auto"/>
          </w:tcPr>
          <w:p w14:paraId="4F0B3098" w14:textId="77777777" w:rsidR="00E13E11" w:rsidRDefault="00C869EB">
            <w:pPr>
              <w:pStyle w:val="Compact"/>
            </w:pPr>
            <w:r>
              <w:t>3</w:t>
            </w:r>
          </w:p>
        </w:tc>
        <w:tc>
          <w:tcPr>
            <w:tcW w:w="0" w:type="auto"/>
          </w:tcPr>
          <w:p w14:paraId="7B541972" w14:textId="77777777" w:rsidR="00E13E11" w:rsidRDefault="00C869EB">
            <w:pPr>
              <w:pStyle w:val="Compact"/>
            </w:pPr>
            <w:r>
              <w:t>Can the wife claim articles even without a signed list?</w:t>
            </w:r>
          </w:p>
        </w:tc>
        <w:tc>
          <w:tcPr>
            <w:tcW w:w="0" w:type="auto"/>
          </w:tcPr>
          <w:p w14:paraId="64612FA2" w14:textId="77777777" w:rsidR="00E13E11" w:rsidRDefault="00C869EB">
            <w:pPr>
              <w:pStyle w:val="Compact"/>
            </w:pPr>
            <w:r>
              <w:t>Yes, though proof becomes more dependent on evidence such as witnesses, receipts, photographs, and admissions by the other side; the absence of a list makes the case harder but not impossible.</w:t>
            </w:r>
          </w:p>
        </w:tc>
        <w:tc>
          <w:tcPr>
            <w:tcW w:w="0" w:type="auto"/>
          </w:tcPr>
          <w:p w14:paraId="7F6D5867" w14:textId="77777777" w:rsidR="00E13E11" w:rsidRDefault="00C869EB">
            <w:pPr>
              <w:pStyle w:val="Compact"/>
            </w:pPr>
            <w:r>
              <w:t>General law of evidence; Family Courts Act 1964</w:t>
            </w:r>
          </w:p>
        </w:tc>
      </w:tr>
      <w:tr w:rsidR="00E13E11" w14:paraId="5429B037" w14:textId="77777777">
        <w:tc>
          <w:tcPr>
            <w:tcW w:w="0" w:type="auto"/>
          </w:tcPr>
          <w:p w14:paraId="1A917E46" w14:textId="77777777" w:rsidR="00E13E11" w:rsidRDefault="00C869EB">
            <w:pPr>
              <w:pStyle w:val="Compact"/>
            </w:pPr>
            <w:r>
              <w:t>4</w:t>
            </w:r>
          </w:p>
        </w:tc>
        <w:tc>
          <w:tcPr>
            <w:tcW w:w="0" w:type="auto"/>
          </w:tcPr>
          <w:p w14:paraId="5AA60969" w14:textId="77777777" w:rsidR="00E13E11" w:rsidRDefault="00C869EB">
            <w:pPr>
              <w:pStyle w:val="Compact"/>
            </w:pPr>
            <w:r>
              <w:t>Is there a limit on the value of dowry that can legally be given?</w:t>
            </w:r>
          </w:p>
        </w:tc>
        <w:tc>
          <w:tcPr>
            <w:tcW w:w="0" w:type="auto"/>
          </w:tcPr>
          <w:p w14:paraId="2EC3F403" w14:textId="77777777" w:rsidR="00E13E11" w:rsidRDefault="00C869EB">
            <w:pPr>
              <w:pStyle w:val="Compact"/>
            </w:pPr>
            <w:r>
              <w:t>The 1976 Act, as amended in various provinces, restricts dowry value to a specified ceiling, amounts varying by provincial amendment, to discourage dowry-related social pressure, though enforcement of the ceiling itself is largely aspirational rather than the basis for the recovery claim.</w:t>
            </w:r>
          </w:p>
        </w:tc>
        <w:tc>
          <w:tcPr>
            <w:tcW w:w="0" w:type="auto"/>
          </w:tcPr>
          <w:p w14:paraId="2E74DC06" w14:textId="77777777" w:rsidR="00E13E11" w:rsidRDefault="00C869EB">
            <w:pPr>
              <w:pStyle w:val="Compact"/>
            </w:pPr>
            <w:r>
              <w:t>Dowry and Bridal Gifts (Restriction) Act 1976, s.3, as amended provincially</w:t>
            </w:r>
          </w:p>
        </w:tc>
      </w:tr>
      <w:tr w:rsidR="00E13E11" w14:paraId="69088464" w14:textId="77777777">
        <w:tc>
          <w:tcPr>
            <w:tcW w:w="0" w:type="auto"/>
          </w:tcPr>
          <w:p w14:paraId="5E5A063F" w14:textId="77777777" w:rsidR="00E13E11" w:rsidRDefault="00C869EB">
            <w:pPr>
              <w:pStyle w:val="Compact"/>
            </w:pPr>
            <w:r>
              <w:t>5</w:t>
            </w:r>
          </w:p>
        </w:tc>
        <w:tc>
          <w:tcPr>
            <w:tcW w:w="0" w:type="auto"/>
          </w:tcPr>
          <w:p w14:paraId="3EAE77AD" w14:textId="77777777" w:rsidR="00E13E11" w:rsidRDefault="00C869EB">
            <w:pPr>
              <w:pStyle w:val="Compact"/>
            </w:pPr>
            <w:r>
              <w:t>What are the actual statutory limits on dowry value and marriage expenditure under the 1976 Act, and are they still enforced?</w:t>
            </w:r>
          </w:p>
        </w:tc>
        <w:tc>
          <w:tcPr>
            <w:tcW w:w="0" w:type="auto"/>
          </w:tcPr>
          <w:p w14:paraId="46320B0D" w14:textId="77777777" w:rsidR="00E13E11" w:rsidRDefault="00C869EB">
            <w:pPr>
              <w:pStyle w:val="Compact"/>
            </w:pPr>
            <w:r>
              <w:t>The 1976 Act on its face restricts dowry and bridal-gift value to Rs. 5,000, marriage-ceremony expenditure to Rs. 2,500, and gifts to the bride or groom to Rs. 100 — figures now widely regarded as obsolete and not meaningfully enforced in practice. A 2016 private member’s bill proposed raising these limits to Rs. 50,000 in urban areas and Rs. 20,000 in rural areas, but it was not passed, so the original 1976 figures remain the technical statutory position pending amendment.</w:t>
            </w:r>
          </w:p>
        </w:tc>
        <w:tc>
          <w:tcPr>
            <w:tcW w:w="0" w:type="auto"/>
          </w:tcPr>
          <w:p w14:paraId="08DEDE73" w14:textId="77777777" w:rsidR="00E13E11" w:rsidRDefault="00C869EB">
            <w:pPr>
              <w:pStyle w:val="Compact"/>
            </w:pPr>
            <w:r>
              <w:t>Dowry and Bridal Gifts (Restriction) Act 1976, s.3</w:t>
            </w:r>
          </w:p>
        </w:tc>
      </w:tr>
      <w:tr w:rsidR="00E13E11" w14:paraId="3937103B" w14:textId="77777777">
        <w:tc>
          <w:tcPr>
            <w:tcW w:w="0" w:type="auto"/>
          </w:tcPr>
          <w:p w14:paraId="06CBED63" w14:textId="77777777" w:rsidR="00E13E11" w:rsidRDefault="00C869EB">
            <w:pPr>
              <w:pStyle w:val="Compact"/>
            </w:pPr>
            <w:r>
              <w:t>6</w:t>
            </w:r>
          </w:p>
        </w:tc>
        <w:tc>
          <w:tcPr>
            <w:tcW w:w="0" w:type="auto"/>
          </w:tcPr>
          <w:p w14:paraId="585EA882" w14:textId="77777777" w:rsidR="00E13E11" w:rsidRDefault="00C869EB">
            <w:pPr>
              <w:pStyle w:val="Compact"/>
            </w:pPr>
            <w:r>
              <w:t>Is there a time limit for filing a complaint about violation of the dowry-value restrictions themselves, as opposed to a civil suit for return of specific articles?</w:t>
            </w:r>
          </w:p>
        </w:tc>
        <w:tc>
          <w:tcPr>
            <w:tcW w:w="0" w:type="auto"/>
          </w:tcPr>
          <w:p w14:paraId="4273703F" w14:textId="77777777" w:rsidR="00E13E11" w:rsidRDefault="00C869EB">
            <w:pPr>
              <w:pStyle w:val="Compact"/>
            </w:pPr>
            <w:r>
              <w:t xml:space="preserve">Yes. A criminal complaint for contravention of the Act’s restrictions must be filed within nine months of the </w:t>
            </w:r>
            <w:proofErr w:type="spellStart"/>
            <w:r>
              <w:t>Nikah</w:t>
            </w:r>
            <w:proofErr w:type="spellEnd"/>
            <w:r>
              <w:t xml:space="preserve"> or </w:t>
            </w:r>
            <w:proofErr w:type="spellStart"/>
            <w:r>
              <w:t>Rukhsati</w:t>
            </w:r>
            <w:proofErr w:type="spellEnd"/>
            <w:r>
              <w:t xml:space="preserve"> and requires </w:t>
            </w:r>
            <w:proofErr w:type="spellStart"/>
            <w:r>
              <w:t>authorisation</w:t>
            </w:r>
            <w:proofErr w:type="spellEnd"/>
            <w:r>
              <w:t xml:space="preserve"> from the Deputy Commissioner; this is distinct from, and does not limit, an ordinary civil recovery suit for specific dowry articles before the Family Court.</w:t>
            </w:r>
          </w:p>
        </w:tc>
        <w:tc>
          <w:tcPr>
            <w:tcW w:w="0" w:type="auto"/>
          </w:tcPr>
          <w:p w14:paraId="61A605BD" w14:textId="77777777" w:rsidR="00E13E11" w:rsidRDefault="00C869EB">
            <w:pPr>
              <w:pStyle w:val="Compact"/>
            </w:pPr>
            <w:r>
              <w:t>Dowry and Bridal Gifts (Restriction) Act 1976, s.8–9</w:t>
            </w:r>
          </w:p>
        </w:tc>
      </w:tr>
    </w:tbl>
    <w:p w14:paraId="107688D8" w14:textId="34814ADD" w:rsidR="00E13E11" w:rsidRDefault="00C869EB">
      <w:pPr>
        <w:pStyle w:val="Heading3"/>
      </w:pPr>
      <w:bookmarkStart w:id="5" w:name="husband-3"/>
      <w:bookmarkEnd w:id="4"/>
      <w:r>
        <w:t>Husband</w:t>
      </w:r>
    </w:p>
    <w:tbl>
      <w:tblPr>
        <w:tblStyle w:val="Table"/>
        <w:tblW w:w="5000" w:type="pct"/>
        <w:tblLook w:val="0020" w:firstRow="1" w:lastRow="0" w:firstColumn="0" w:lastColumn="0" w:noHBand="0" w:noVBand="0"/>
      </w:tblPr>
      <w:tblGrid>
        <w:gridCol w:w="389"/>
        <w:gridCol w:w="2718"/>
        <w:gridCol w:w="4042"/>
        <w:gridCol w:w="2201"/>
      </w:tblGrid>
      <w:tr w:rsidR="00E13E11" w14:paraId="55ED705C" w14:textId="77777777" w:rsidTr="00E13E11">
        <w:trPr>
          <w:cnfStyle w:val="100000000000" w:firstRow="1" w:lastRow="0" w:firstColumn="0" w:lastColumn="0" w:oddVBand="0" w:evenVBand="0" w:oddHBand="0" w:evenHBand="0" w:firstRowFirstColumn="0" w:firstRowLastColumn="0" w:lastRowFirstColumn="0" w:lastRowLastColumn="0"/>
        </w:trPr>
        <w:tc>
          <w:tcPr>
            <w:tcW w:w="0" w:type="auto"/>
          </w:tcPr>
          <w:p w14:paraId="2E6C7F0A" w14:textId="77777777" w:rsidR="00E13E11" w:rsidRDefault="00C869EB">
            <w:pPr>
              <w:pStyle w:val="Compact"/>
            </w:pPr>
            <w:r>
              <w:t>#</w:t>
            </w:r>
          </w:p>
        </w:tc>
        <w:tc>
          <w:tcPr>
            <w:tcW w:w="0" w:type="auto"/>
          </w:tcPr>
          <w:p w14:paraId="135281CB" w14:textId="77777777" w:rsidR="00E13E11" w:rsidRDefault="00C869EB">
            <w:pPr>
              <w:pStyle w:val="Compact"/>
            </w:pPr>
            <w:r>
              <w:t>Question</w:t>
            </w:r>
          </w:p>
        </w:tc>
        <w:tc>
          <w:tcPr>
            <w:tcW w:w="0" w:type="auto"/>
          </w:tcPr>
          <w:p w14:paraId="5F4A1672" w14:textId="77777777" w:rsidR="00E13E11" w:rsidRDefault="00C869EB">
            <w:pPr>
              <w:pStyle w:val="Compact"/>
            </w:pPr>
            <w:r>
              <w:t>Answer</w:t>
            </w:r>
          </w:p>
        </w:tc>
        <w:tc>
          <w:tcPr>
            <w:tcW w:w="0" w:type="auto"/>
          </w:tcPr>
          <w:p w14:paraId="384BFB1E" w14:textId="77777777" w:rsidR="00E13E11" w:rsidRDefault="00C869EB">
            <w:pPr>
              <w:pStyle w:val="Compact"/>
            </w:pPr>
            <w:r>
              <w:t>Law Reference</w:t>
            </w:r>
          </w:p>
        </w:tc>
      </w:tr>
      <w:tr w:rsidR="00E13E11" w14:paraId="5CC5E02B" w14:textId="77777777">
        <w:tc>
          <w:tcPr>
            <w:tcW w:w="0" w:type="auto"/>
          </w:tcPr>
          <w:p w14:paraId="10FC57AF" w14:textId="77777777" w:rsidR="00E13E11" w:rsidRDefault="00C869EB">
            <w:pPr>
              <w:pStyle w:val="Compact"/>
            </w:pPr>
            <w:r>
              <w:t>1</w:t>
            </w:r>
          </w:p>
        </w:tc>
        <w:tc>
          <w:tcPr>
            <w:tcW w:w="0" w:type="auto"/>
          </w:tcPr>
          <w:p w14:paraId="3BBC9B62" w14:textId="77777777" w:rsidR="00E13E11" w:rsidRDefault="00C869EB">
            <w:pPr>
              <w:pStyle w:val="Compact"/>
            </w:pPr>
            <w:r>
              <w:t>Can the husband claim he already returned the dowry articles?</w:t>
            </w:r>
          </w:p>
        </w:tc>
        <w:tc>
          <w:tcPr>
            <w:tcW w:w="0" w:type="auto"/>
          </w:tcPr>
          <w:p w14:paraId="4DA1CB07" w14:textId="77777777" w:rsidR="00E13E11" w:rsidRDefault="00C869EB">
            <w:pPr>
              <w:pStyle w:val="Compact"/>
            </w:pPr>
            <w:r>
              <w:t>Yes, as a defence with supporting evidence, such as a receipt, witnesses, or a panchayat or jirga settlement record if one exists.</w:t>
            </w:r>
          </w:p>
        </w:tc>
        <w:tc>
          <w:tcPr>
            <w:tcW w:w="0" w:type="auto"/>
          </w:tcPr>
          <w:p w14:paraId="52F6AFDF" w14:textId="77777777" w:rsidR="00E13E11" w:rsidRDefault="00C869EB">
            <w:pPr>
              <w:pStyle w:val="Compact"/>
            </w:pPr>
            <w:r>
              <w:t>Family Courts Act 1964, s.10, written statement and evidence</w:t>
            </w:r>
          </w:p>
        </w:tc>
      </w:tr>
      <w:tr w:rsidR="00E13E11" w14:paraId="7F8BE470" w14:textId="77777777">
        <w:tc>
          <w:tcPr>
            <w:tcW w:w="0" w:type="auto"/>
          </w:tcPr>
          <w:p w14:paraId="2E35A983" w14:textId="77777777" w:rsidR="00E13E11" w:rsidRDefault="00C869EB">
            <w:pPr>
              <w:pStyle w:val="Compact"/>
            </w:pPr>
            <w:r>
              <w:t>2</w:t>
            </w:r>
          </w:p>
        </w:tc>
        <w:tc>
          <w:tcPr>
            <w:tcW w:w="0" w:type="auto"/>
          </w:tcPr>
          <w:p w14:paraId="5BB4E2E6" w14:textId="77777777" w:rsidR="00E13E11" w:rsidRDefault="00C869EB">
            <w:pPr>
              <w:pStyle w:val="Compact"/>
            </w:pPr>
            <w:r>
              <w:t>Are the husband’s family, that is the in-laws, automatically liable for dowry articles in their possession?</w:t>
            </w:r>
          </w:p>
        </w:tc>
        <w:tc>
          <w:tcPr>
            <w:tcW w:w="0" w:type="auto"/>
          </w:tcPr>
          <w:p w14:paraId="4571895D" w14:textId="77777777" w:rsidR="00E13E11" w:rsidRDefault="00C869EB">
            <w:pPr>
              <w:pStyle w:val="Compact"/>
            </w:pPr>
            <w:r>
              <w:t xml:space="preserve">Not automatically, but if </w:t>
            </w:r>
            <w:proofErr w:type="spellStart"/>
            <w:r>
              <w:t>impleaded</w:t>
            </w:r>
            <w:proofErr w:type="spellEnd"/>
            <w:r>
              <w:t xml:space="preserve"> as parties and found in possession without lawful claim, a decree can be passed against them too.</w:t>
            </w:r>
          </w:p>
        </w:tc>
        <w:tc>
          <w:tcPr>
            <w:tcW w:w="0" w:type="auto"/>
          </w:tcPr>
          <w:p w14:paraId="2FAF9FA2" w14:textId="77777777" w:rsidR="00E13E11" w:rsidRDefault="00C869EB">
            <w:pPr>
              <w:pStyle w:val="Compact"/>
            </w:pPr>
            <w:r>
              <w:t>Family Courts Act 1964, Schedule; general civil liability principles</w:t>
            </w:r>
          </w:p>
        </w:tc>
      </w:tr>
      <w:tr w:rsidR="00E13E11" w14:paraId="346058EF" w14:textId="77777777">
        <w:tc>
          <w:tcPr>
            <w:tcW w:w="0" w:type="auto"/>
          </w:tcPr>
          <w:p w14:paraId="34C78DAE" w14:textId="77777777" w:rsidR="00E13E11" w:rsidRDefault="00C869EB">
            <w:pPr>
              <w:pStyle w:val="Compact"/>
            </w:pPr>
            <w:r>
              <w:t>3</w:t>
            </w:r>
          </w:p>
        </w:tc>
        <w:tc>
          <w:tcPr>
            <w:tcW w:w="0" w:type="auto"/>
          </w:tcPr>
          <w:p w14:paraId="669322C0" w14:textId="77777777" w:rsidR="00E13E11" w:rsidRDefault="00C869EB">
            <w:pPr>
              <w:pStyle w:val="Compact"/>
            </w:pPr>
            <w:r>
              <w:t>Is a family’s failure to prepare the dowry list required under the 1976 Act fatal to the husband’s defence in a recovery suit?</w:t>
            </w:r>
          </w:p>
        </w:tc>
        <w:tc>
          <w:tcPr>
            <w:tcW w:w="0" w:type="auto"/>
          </w:tcPr>
          <w:p w14:paraId="35A91816" w14:textId="77777777" w:rsidR="00E13E11" w:rsidRDefault="00C869EB">
            <w:pPr>
              <w:pStyle w:val="Compact"/>
            </w:pPr>
            <w:r>
              <w:t xml:space="preserve">Not fatal by itself. Non-preparation of the list is itself an </w:t>
            </w:r>
            <w:proofErr w:type="spellStart"/>
            <w:r>
              <w:t>offence</w:t>
            </w:r>
            <w:proofErr w:type="spellEnd"/>
            <w:r>
              <w:t xml:space="preserve"> under the Act, but in the civil recovery suit the absence of a list simply shifts the evidentiary burden onto oral testimony, admissions, receipts, and photographs to establish what was given.</w:t>
            </w:r>
          </w:p>
        </w:tc>
        <w:tc>
          <w:tcPr>
            <w:tcW w:w="0" w:type="auto"/>
          </w:tcPr>
          <w:p w14:paraId="330DD2E5" w14:textId="77777777" w:rsidR="00E13E11" w:rsidRDefault="00C869EB">
            <w:pPr>
              <w:pStyle w:val="Compact"/>
            </w:pPr>
            <w:r>
              <w:t>Dowry and Bridal Gifts (Restriction) Act 1976, s.4, s.9; general law of evidence</w:t>
            </w:r>
          </w:p>
        </w:tc>
      </w:tr>
    </w:tbl>
    <w:p w14:paraId="6F409613" w14:textId="634B5607" w:rsidR="00E13E11" w:rsidRDefault="00C869EB">
      <w:pPr>
        <w:pStyle w:val="Heading3"/>
      </w:pPr>
      <w:bookmarkStart w:id="6" w:name="in-laws-if-impleaded"/>
      <w:bookmarkEnd w:id="5"/>
      <w:r>
        <w:t xml:space="preserve">In-Laws (If </w:t>
      </w:r>
      <w:proofErr w:type="spellStart"/>
      <w:r>
        <w:t>Impleaded</w:t>
      </w:r>
      <w:proofErr w:type="spellEnd"/>
      <w:r>
        <w:t>)</w:t>
      </w:r>
    </w:p>
    <w:tbl>
      <w:tblPr>
        <w:tblStyle w:val="Table"/>
        <w:tblW w:w="5000" w:type="pct"/>
        <w:tblLook w:val="0020" w:firstRow="1" w:lastRow="0" w:firstColumn="0" w:lastColumn="0" w:noHBand="0" w:noVBand="0"/>
      </w:tblPr>
      <w:tblGrid>
        <w:gridCol w:w="389"/>
        <w:gridCol w:w="2252"/>
        <w:gridCol w:w="3395"/>
        <w:gridCol w:w="3314"/>
      </w:tblGrid>
      <w:tr w:rsidR="00E13E11" w14:paraId="0A177C1C" w14:textId="77777777" w:rsidTr="00E13E11">
        <w:trPr>
          <w:cnfStyle w:val="100000000000" w:firstRow="1" w:lastRow="0" w:firstColumn="0" w:lastColumn="0" w:oddVBand="0" w:evenVBand="0" w:oddHBand="0" w:evenHBand="0" w:firstRowFirstColumn="0" w:firstRowLastColumn="0" w:lastRowFirstColumn="0" w:lastRowLastColumn="0"/>
        </w:trPr>
        <w:tc>
          <w:tcPr>
            <w:tcW w:w="0" w:type="auto"/>
          </w:tcPr>
          <w:p w14:paraId="1BCA3B29" w14:textId="77777777" w:rsidR="00E13E11" w:rsidRDefault="00C869EB">
            <w:pPr>
              <w:pStyle w:val="Compact"/>
            </w:pPr>
            <w:r>
              <w:t>#</w:t>
            </w:r>
          </w:p>
        </w:tc>
        <w:tc>
          <w:tcPr>
            <w:tcW w:w="0" w:type="auto"/>
          </w:tcPr>
          <w:p w14:paraId="384C48B8" w14:textId="77777777" w:rsidR="00E13E11" w:rsidRDefault="00C869EB">
            <w:pPr>
              <w:pStyle w:val="Compact"/>
            </w:pPr>
            <w:r>
              <w:t>Question</w:t>
            </w:r>
          </w:p>
        </w:tc>
        <w:tc>
          <w:tcPr>
            <w:tcW w:w="0" w:type="auto"/>
          </w:tcPr>
          <w:p w14:paraId="618E96DB" w14:textId="77777777" w:rsidR="00E13E11" w:rsidRDefault="00C869EB">
            <w:pPr>
              <w:pStyle w:val="Compact"/>
            </w:pPr>
            <w:r>
              <w:t>Answer</w:t>
            </w:r>
          </w:p>
        </w:tc>
        <w:tc>
          <w:tcPr>
            <w:tcW w:w="0" w:type="auto"/>
          </w:tcPr>
          <w:p w14:paraId="363E2B7F" w14:textId="77777777" w:rsidR="00E13E11" w:rsidRDefault="00C869EB">
            <w:pPr>
              <w:pStyle w:val="Compact"/>
            </w:pPr>
            <w:r>
              <w:t>Law Reference</w:t>
            </w:r>
          </w:p>
        </w:tc>
      </w:tr>
      <w:tr w:rsidR="00E13E11" w14:paraId="39CAF788" w14:textId="77777777">
        <w:tc>
          <w:tcPr>
            <w:tcW w:w="0" w:type="auto"/>
          </w:tcPr>
          <w:p w14:paraId="4200F0E6" w14:textId="77777777" w:rsidR="00E13E11" w:rsidRDefault="00C869EB">
            <w:pPr>
              <w:pStyle w:val="Compact"/>
            </w:pPr>
            <w:r>
              <w:t>1</w:t>
            </w:r>
          </w:p>
        </w:tc>
        <w:tc>
          <w:tcPr>
            <w:tcW w:w="0" w:type="auto"/>
          </w:tcPr>
          <w:p w14:paraId="39268045" w14:textId="77777777" w:rsidR="00E13E11" w:rsidRDefault="00C869EB">
            <w:pPr>
              <w:pStyle w:val="Compact"/>
            </w:pPr>
            <w:r>
              <w:t>Can in-laws be made parties to a dowry recovery suit?</w:t>
            </w:r>
          </w:p>
        </w:tc>
        <w:tc>
          <w:tcPr>
            <w:tcW w:w="0" w:type="auto"/>
          </w:tcPr>
          <w:p w14:paraId="1513B34E" w14:textId="77777777" w:rsidR="00E13E11" w:rsidRDefault="00C869EB">
            <w:pPr>
              <w:pStyle w:val="Compact"/>
            </w:pPr>
            <w:r>
              <w:t>Yes, if it is alleged that they are in possession of the dowry articles or are obstructing their return.</w:t>
            </w:r>
          </w:p>
        </w:tc>
        <w:tc>
          <w:tcPr>
            <w:tcW w:w="0" w:type="auto"/>
          </w:tcPr>
          <w:p w14:paraId="2FD281D1" w14:textId="77777777" w:rsidR="00E13E11" w:rsidRDefault="00C869EB">
            <w:pPr>
              <w:pStyle w:val="Compact"/>
            </w:pPr>
            <w:r>
              <w:t>Family Courts Act 1964, Schedule; CPC 1908 principles on necessary and proper parties, applied</w:t>
            </w:r>
          </w:p>
        </w:tc>
      </w:tr>
    </w:tbl>
    <w:p w14:paraId="3A86F69F" w14:textId="007103F8" w:rsidR="00E13E11" w:rsidRDefault="00C869EB">
      <w:pPr>
        <w:pStyle w:val="Heading3"/>
      </w:pPr>
      <w:bookmarkStart w:id="7" w:name="family-court-judge-7"/>
      <w:bookmarkEnd w:id="6"/>
      <w:r>
        <w:t xml:space="preserve"> Family Court Judge</w:t>
      </w:r>
    </w:p>
    <w:tbl>
      <w:tblPr>
        <w:tblStyle w:val="Table"/>
        <w:tblW w:w="5000" w:type="pct"/>
        <w:tblLook w:val="0020" w:firstRow="1" w:lastRow="0" w:firstColumn="0" w:lastColumn="0" w:noHBand="0" w:noVBand="0"/>
      </w:tblPr>
      <w:tblGrid>
        <w:gridCol w:w="389"/>
        <w:gridCol w:w="2231"/>
        <w:gridCol w:w="4605"/>
        <w:gridCol w:w="2125"/>
      </w:tblGrid>
      <w:tr w:rsidR="00E13E11" w14:paraId="70F57FDC" w14:textId="77777777" w:rsidTr="00E13E11">
        <w:trPr>
          <w:cnfStyle w:val="100000000000" w:firstRow="1" w:lastRow="0" w:firstColumn="0" w:lastColumn="0" w:oddVBand="0" w:evenVBand="0" w:oddHBand="0" w:evenHBand="0" w:firstRowFirstColumn="0" w:firstRowLastColumn="0" w:lastRowFirstColumn="0" w:lastRowLastColumn="0"/>
        </w:trPr>
        <w:tc>
          <w:tcPr>
            <w:tcW w:w="0" w:type="auto"/>
          </w:tcPr>
          <w:p w14:paraId="66AFFFE9" w14:textId="77777777" w:rsidR="00E13E11" w:rsidRDefault="00C869EB">
            <w:pPr>
              <w:pStyle w:val="Compact"/>
            </w:pPr>
            <w:r>
              <w:t>#</w:t>
            </w:r>
          </w:p>
        </w:tc>
        <w:tc>
          <w:tcPr>
            <w:tcW w:w="0" w:type="auto"/>
          </w:tcPr>
          <w:p w14:paraId="08F978CC" w14:textId="77777777" w:rsidR="00E13E11" w:rsidRDefault="00C869EB">
            <w:pPr>
              <w:pStyle w:val="Compact"/>
            </w:pPr>
            <w:r>
              <w:t>Question</w:t>
            </w:r>
          </w:p>
        </w:tc>
        <w:tc>
          <w:tcPr>
            <w:tcW w:w="0" w:type="auto"/>
          </w:tcPr>
          <w:p w14:paraId="659BD3D8" w14:textId="77777777" w:rsidR="00E13E11" w:rsidRDefault="00C869EB">
            <w:pPr>
              <w:pStyle w:val="Compact"/>
            </w:pPr>
            <w:r>
              <w:t>Answer</w:t>
            </w:r>
          </w:p>
        </w:tc>
        <w:tc>
          <w:tcPr>
            <w:tcW w:w="0" w:type="auto"/>
          </w:tcPr>
          <w:p w14:paraId="261AE5FA" w14:textId="77777777" w:rsidR="00E13E11" w:rsidRDefault="00C869EB">
            <w:pPr>
              <w:pStyle w:val="Compact"/>
            </w:pPr>
            <w:r>
              <w:t>Law Reference</w:t>
            </w:r>
          </w:p>
        </w:tc>
      </w:tr>
      <w:tr w:rsidR="00E13E11" w14:paraId="7C24D4B4" w14:textId="77777777">
        <w:tc>
          <w:tcPr>
            <w:tcW w:w="0" w:type="auto"/>
          </w:tcPr>
          <w:p w14:paraId="1537052C" w14:textId="77777777" w:rsidR="00E13E11" w:rsidRDefault="00C869EB">
            <w:pPr>
              <w:pStyle w:val="Compact"/>
            </w:pPr>
            <w:r>
              <w:t>1</w:t>
            </w:r>
          </w:p>
        </w:tc>
        <w:tc>
          <w:tcPr>
            <w:tcW w:w="0" w:type="auto"/>
          </w:tcPr>
          <w:p w14:paraId="7ACE3230" w14:textId="77777777" w:rsidR="00E13E11" w:rsidRDefault="00C869EB">
            <w:pPr>
              <w:pStyle w:val="Compact"/>
            </w:pPr>
            <w:r>
              <w:t>What relief can the Family Court grant in a dowry suit?</w:t>
            </w:r>
          </w:p>
        </w:tc>
        <w:tc>
          <w:tcPr>
            <w:tcW w:w="0" w:type="auto"/>
          </w:tcPr>
          <w:p w14:paraId="53684709" w14:textId="77777777" w:rsidR="00E13E11" w:rsidRDefault="00C869EB">
            <w:pPr>
              <w:pStyle w:val="Compact"/>
            </w:pPr>
            <w:r>
              <w:t>A decree for return of the specific articles, or their value in the alternative if the articles are unavailable, consumed, or sold.</w:t>
            </w:r>
          </w:p>
        </w:tc>
        <w:tc>
          <w:tcPr>
            <w:tcW w:w="0" w:type="auto"/>
          </w:tcPr>
          <w:p w14:paraId="6279F7D0" w14:textId="77777777" w:rsidR="00E13E11" w:rsidRDefault="00C869EB">
            <w:pPr>
              <w:pStyle w:val="Compact"/>
            </w:pPr>
            <w:r>
              <w:t>Family Courts Act 1964, Schedule; general principles of a decree in the alternative</w:t>
            </w:r>
          </w:p>
        </w:tc>
      </w:tr>
      <w:tr w:rsidR="00E13E11" w14:paraId="5D3CDC35" w14:textId="77777777">
        <w:tc>
          <w:tcPr>
            <w:tcW w:w="0" w:type="auto"/>
          </w:tcPr>
          <w:p w14:paraId="2C00FE0B" w14:textId="77777777" w:rsidR="00E13E11" w:rsidRDefault="00C869EB">
            <w:pPr>
              <w:pStyle w:val="Compact"/>
            </w:pPr>
            <w:r>
              <w:t>2</w:t>
            </w:r>
          </w:p>
        </w:tc>
        <w:tc>
          <w:tcPr>
            <w:tcW w:w="0" w:type="auto"/>
          </w:tcPr>
          <w:p w14:paraId="3D1EC131" w14:textId="77777777" w:rsidR="00E13E11" w:rsidRDefault="00C869EB">
            <w:pPr>
              <w:pStyle w:val="Compact"/>
            </w:pPr>
            <w:r>
              <w:t>Can the Family Court order the return of dowry articles even if the marriage itself is later declared void?</w:t>
            </w:r>
          </w:p>
        </w:tc>
        <w:tc>
          <w:tcPr>
            <w:tcW w:w="0" w:type="auto"/>
          </w:tcPr>
          <w:p w14:paraId="5FE63C6E" w14:textId="77777777" w:rsidR="00E13E11" w:rsidRDefault="00C869EB">
            <w:pPr>
              <w:pStyle w:val="Compact"/>
            </w:pPr>
            <w:r>
              <w:t xml:space="preserve">Yes. The right to recover dowry articles rests on the fact that they were given to the wife personally, at or around the marriage, and is treated as a property claim distinct from the marriage’s validity; a finding that the </w:t>
            </w:r>
            <w:proofErr w:type="spellStart"/>
            <w:r>
              <w:t>Nikah</w:t>
            </w:r>
            <w:proofErr w:type="spellEnd"/>
            <w:r>
              <w:t xml:space="preserve"> was void does not by itself extinguish her right to recover articles that were given to her.</w:t>
            </w:r>
          </w:p>
        </w:tc>
        <w:tc>
          <w:tcPr>
            <w:tcW w:w="0" w:type="auto"/>
          </w:tcPr>
          <w:p w14:paraId="1EA93AAE" w14:textId="77777777" w:rsidR="00E13E11" w:rsidRDefault="00C869EB">
            <w:pPr>
              <w:pStyle w:val="Compact"/>
            </w:pPr>
            <w:r>
              <w:t>Family Courts Act 1964, Schedule; general civil-law principles on ownership of gifts</w:t>
            </w:r>
          </w:p>
        </w:tc>
      </w:tr>
    </w:tbl>
    <w:p w14:paraId="02D8C389" w14:textId="396D56A7" w:rsidR="00E13E11" w:rsidRDefault="00C869EB">
      <w:pPr>
        <w:pStyle w:val="Heading3"/>
      </w:pPr>
      <w:bookmarkStart w:id="8" w:name="X65a23f8c187f98e8cee2a7648a2b495aa5f9f7c"/>
      <w:bookmarkEnd w:id="7"/>
      <w:r>
        <w:t xml:space="preserve"> Advocate / Lawyer, Police Officer, Bailiff, Witnesses (Secondary)</w:t>
      </w:r>
    </w:p>
    <w:tbl>
      <w:tblPr>
        <w:tblStyle w:val="Table"/>
        <w:tblW w:w="5000" w:type="pct"/>
        <w:tblLook w:val="0020" w:firstRow="1" w:lastRow="0" w:firstColumn="0" w:lastColumn="0" w:noHBand="0" w:noVBand="0"/>
      </w:tblPr>
      <w:tblGrid>
        <w:gridCol w:w="389"/>
        <w:gridCol w:w="2523"/>
        <w:gridCol w:w="4116"/>
        <w:gridCol w:w="2322"/>
      </w:tblGrid>
      <w:tr w:rsidR="00E13E11" w14:paraId="61837520" w14:textId="77777777" w:rsidTr="00E13E11">
        <w:trPr>
          <w:cnfStyle w:val="100000000000" w:firstRow="1" w:lastRow="0" w:firstColumn="0" w:lastColumn="0" w:oddVBand="0" w:evenVBand="0" w:oddHBand="0" w:evenHBand="0" w:firstRowFirstColumn="0" w:firstRowLastColumn="0" w:lastRowFirstColumn="0" w:lastRowLastColumn="0"/>
        </w:trPr>
        <w:tc>
          <w:tcPr>
            <w:tcW w:w="0" w:type="auto"/>
          </w:tcPr>
          <w:p w14:paraId="50D20FEC" w14:textId="77777777" w:rsidR="00E13E11" w:rsidRDefault="00C869EB">
            <w:pPr>
              <w:pStyle w:val="Compact"/>
            </w:pPr>
            <w:r>
              <w:t>#</w:t>
            </w:r>
          </w:p>
        </w:tc>
        <w:tc>
          <w:tcPr>
            <w:tcW w:w="0" w:type="auto"/>
          </w:tcPr>
          <w:p w14:paraId="25B9B092" w14:textId="77777777" w:rsidR="00E13E11" w:rsidRDefault="00C869EB">
            <w:pPr>
              <w:pStyle w:val="Compact"/>
            </w:pPr>
            <w:r>
              <w:t>Question</w:t>
            </w:r>
          </w:p>
        </w:tc>
        <w:tc>
          <w:tcPr>
            <w:tcW w:w="0" w:type="auto"/>
          </w:tcPr>
          <w:p w14:paraId="5FB7A7BB" w14:textId="77777777" w:rsidR="00E13E11" w:rsidRDefault="00C869EB">
            <w:pPr>
              <w:pStyle w:val="Compact"/>
            </w:pPr>
            <w:r>
              <w:t>Answer</w:t>
            </w:r>
          </w:p>
        </w:tc>
        <w:tc>
          <w:tcPr>
            <w:tcW w:w="0" w:type="auto"/>
          </w:tcPr>
          <w:p w14:paraId="23AA90D8" w14:textId="77777777" w:rsidR="00E13E11" w:rsidRDefault="00C869EB">
            <w:pPr>
              <w:pStyle w:val="Compact"/>
            </w:pPr>
            <w:r>
              <w:t>Law Reference</w:t>
            </w:r>
          </w:p>
        </w:tc>
      </w:tr>
      <w:tr w:rsidR="00E13E11" w14:paraId="0AAA4219" w14:textId="77777777">
        <w:tc>
          <w:tcPr>
            <w:tcW w:w="0" w:type="auto"/>
          </w:tcPr>
          <w:p w14:paraId="0B31317B" w14:textId="77777777" w:rsidR="00E13E11" w:rsidRDefault="00C869EB">
            <w:pPr>
              <w:pStyle w:val="Compact"/>
            </w:pPr>
            <w:r>
              <w:t>1</w:t>
            </w:r>
          </w:p>
        </w:tc>
        <w:tc>
          <w:tcPr>
            <w:tcW w:w="0" w:type="auto"/>
          </w:tcPr>
          <w:p w14:paraId="794401E3" w14:textId="77777777" w:rsidR="00E13E11" w:rsidRDefault="00C869EB">
            <w:pPr>
              <w:pStyle w:val="Compact"/>
            </w:pPr>
            <w:r>
              <w:t>How is a decree for return of dowry articles executed if the husband refuses to comply?</w:t>
            </w:r>
          </w:p>
        </w:tc>
        <w:tc>
          <w:tcPr>
            <w:tcW w:w="0" w:type="auto"/>
          </w:tcPr>
          <w:p w14:paraId="4109693C" w14:textId="77777777" w:rsidR="00E13E11" w:rsidRDefault="00C869EB">
            <w:pPr>
              <w:pStyle w:val="Compact"/>
            </w:pPr>
            <w:r>
              <w:t>Through execution proceedings — attachment of property, a warrant for recovery of specific articles via the bailiff, with police assistance if resistance is offered.</w:t>
            </w:r>
          </w:p>
        </w:tc>
        <w:tc>
          <w:tcPr>
            <w:tcW w:w="0" w:type="auto"/>
          </w:tcPr>
          <w:p w14:paraId="211701BC" w14:textId="77777777" w:rsidR="00E13E11" w:rsidRDefault="00C869EB">
            <w:pPr>
              <w:pStyle w:val="Compact"/>
            </w:pPr>
            <w:r>
              <w:t>Family Courts Act 1964, s.17A; CPC 1908, Order XXI, execution of decrees</w:t>
            </w:r>
          </w:p>
        </w:tc>
      </w:tr>
      <w:tr w:rsidR="00E13E11" w14:paraId="6A882EAA" w14:textId="77777777">
        <w:tc>
          <w:tcPr>
            <w:tcW w:w="0" w:type="auto"/>
          </w:tcPr>
          <w:p w14:paraId="40B6606B" w14:textId="77777777" w:rsidR="00E13E11" w:rsidRDefault="00C869EB">
            <w:pPr>
              <w:pStyle w:val="Compact"/>
            </w:pPr>
            <w:r>
              <w:t>2</w:t>
            </w:r>
          </w:p>
        </w:tc>
        <w:tc>
          <w:tcPr>
            <w:tcW w:w="0" w:type="auto"/>
          </w:tcPr>
          <w:p w14:paraId="2F9DD093" w14:textId="77777777" w:rsidR="00E13E11" w:rsidRDefault="00C869EB">
            <w:pPr>
              <w:pStyle w:val="Compact"/>
            </w:pPr>
            <w:r>
              <w:t>What is the bailiff’s specific role?</w:t>
            </w:r>
          </w:p>
        </w:tc>
        <w:tc>
          <w:tcPr>
            <w:tcW w:w="0" w:type="auto"/>
          </w:tcPr>
          <w:p w14:paraId="545759DD" w14:textId="77777777" w:rsidR="00E13E11" w:rsidRDefault="00C869EB">
            <w:pPr>
              <w:pStyle w:val="Compact"/>
            </w:pPr>
            <w:r>
              <w:t>Physically executing the court’s warrant — visiting the premises, taking possession of or recovering the decreed articles, and reporting compliance or non-compliance to the court.</w:t>
            </w:r>
          </w:p>
        </w:tc>
        <w:tc>
          <w:tcPr>
            <w:tcW w:w="0" w:type="auto"/>
          </w:tcPr>
          <w:p w14:paraId="361F518C" w14:textId="77777777" w:rsidR="00E13E11" w:rsidRDefault="00C869EB">
            <w:pPr>
              <w:pStyle w:val="Compact"/>
            </w:pPr>
            <w:r>
              <w:t xml:space="preserve">CPC 1908, Order XXI, </w:t>
            </w:r>
            <w:proofErr w:type="spellStart"/>
            <w:r>
              <w:t>rr</w:t>
            </w:r>
            <w:proofErr w:type="spellEnd"/>
            <w:r>
              <w:t>. 30–32, as applied via the Family Courts Act 1964</w:t>
            </w:r>
          </w:p>
        </w:tc>
      </w:tr>
      <w:tr w:rsidR="00E13E11" w14:paraId="52F3D97C" w14:textId="77777777">
        <w:tc>
          <w:tcPr>
            <w:tcW w:w="0" w:type="auto"/>
          </w:tcPr>
          <w:p w14:paraId="0573228D" w14:textId="77777777" w:rsidR="00E13E11" w:rsidRDefault="00C869EB">
            <w:pPr>
              <w:pStyle w:val="Compact"/>
            </w:pPr>
            <w:r>
              <w:t>3</w:t>
            </w:r>
          </w:p>
        </w:tc>
        <w:tc>
          <w:tcPr>
            <w:tcW w:w="0" w:type="auto"/>
          </w:tcPr>
          <w:p w14:paraId="2D013931" w14:textId="77777777" w:rsidR="00E13E11" w:rsidRDefault="00C869EB">
            <w:pPr>
              <w:pStyle w:val="Compact"/>
            </w:pPr>
            <w:r>
              <w:t>Can witnesses be examined to identify or prove ownership of specific dowry articles?</w:t>
            </w:r>
          </w:p>
        </w:tc>
        <w:tc>
          <w:tcPr>
            <w:tcW w:w="0" w:type="auto"/>
          </w:tcPr>
          <w:p w14:paraId="22FBC898" w14:textId="77777777" w:rsidR="00E13E11" w:rsidRDefault="00C869EB">
            <w:pPr>
              <w:pStyle w:val="Compact"/>
            </w:pPr>
            <w:r>
              <w:t>Yes. Witness testimony from family members, vendors, or photographs taken at the time of marriage is commonly used to establish the articles and their ownership.</w:t>
            </w:r>
          </w:p>
        </w:tc>
        <w:tc>
          <w:tcPr>
            <w:tcW w:w="0" w:type="auto"/>
          </w:tcPr>
          <w:p w14:paraId="304B471C" w14:textId="77777777" w:rsidR="00E13E11" w:rsidRDefault="00C869EB">
            <w:pPr>
              <w:pStyle w:val="Compact"/>
            </w:pPr>
            <w:r>
              <w:t>QSO 1984, Art. 17, 71</w:t>
            </w:r>
          </w:p>
        </w:tc>
      </w:tr>
    </w:tbl>
    <w:p w14:paraId="6FEB3B7E" w14:textId="77777777" w:rsidR="00E13E11" w:rsidRDefault="0080713F">
      <w:r>
        <w:rPr>
          <w:noProof/>
        </w:rPr>
      </w:r>
      <w:r w:rsidR="0080713F">
        <w:rPr>
          <w:noProof/>
        </w:rPr>
        <w:pict w14:anchorId="2F165233">
          <v:rect id="_x0000_i1027" style="width:0;height:1.5pt" o:hralign="center" o:hrstd="t" o:hr="t"/>
        </w:pict>
      </w:r>
    </w:p>
    <w:p w14:paraId="57BD0B4C" w14:textId="666B98A7" w:rsidR="00E13E11" w:rsidRDefault="00E13E11" w:rsidP="005B0E9C">
      <w:bookmarkStart w:id="9" w:name="disclaimer"/>
      <w:bookmarkEnd w:id="8"/>
      <w:bookmarkEnd w:id="3"/>
    </w:p>
    <w:bookmarkEnd w:id="9"/>
    <w:bookmarkEnd w:id="0"/>
    <w:sectPr w:rsidR="00E13E1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6AF125D" w14:textId="77777777" w:rsidR="00C869EB" w:rsidRDefault="00C869EB">
      <w:pPr>
        <w:spacing w:after="0"/>
      </w:pPr>
      <w:r>
        <w:separator/>
      </w:r>
    </w:p>
  </w:endnote>
  <w:endnote w:type="continuationSeparator" w:id="0">
    <w:p w14:paraId="4F93E355" w14:textId="77777777" w:rsidR="00C869EB" w:rsidRDefault="00C869E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E11E27B" w14:textId="77777777" w:rsidR="00E13E11" w:rsidRDefault="00C869EB">
      <w:r>
        <w:separator/>
      </w:r>
    </w:p>
  </w:footnote>
  <w:footnote w:type="continuationSeparator" w:id="0">
    <w:p w14:paraId="6F08C72C" w14:textId="77777777" w:rsidR="00E13E11" w:rsidRDefault="00C869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FFFFFFFF"/>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FFFFFFF"/>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FFFFFFFF"/>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266037043">
    <w:abstractNumId w:val="0"/>
  </w:num>
  <w:num w:numId="2" w16cid:durableId="5210133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461197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revisionView w:inkAnnotations="0"/>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E11"/>
    <w:rsid w:val="00321ADE"/>
    <w:rsid w:val="003E08AC"/>
    <w:rsid w:val="005B0E9C"/>
    <w:rsid w:val="00676D34"/>
    <w:rsid w:val="006D7692"/>
    <w:rsid w:val="0071732C"/>
    <w:rsid w:val="00765CC3"/>
    <w:rsid w:val="00787D0F"/>
    <w:rsid w:val="0080713F"/>
    <w:rsid w:val="00815CD8"/>
    <w:rsid w:val="0096243B"/>
    <w:rsid w:val="00A823C0"/>
    <w:rsid w:val="00A87002"/>
    <w:rsid w:val="00C869EB"/>
    <w:rsid w:val="00E13E11"/>
    <w:rsid w:val="00EC383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2954C9D7"/>
  <w15:docId w15:val="{D3FD6536-02E4-544E-9786-5C0E4B97B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1F3864"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1F3864"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1F3864"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1F3864"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1F3864"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1F3864"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1F3864"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1F3864"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1F386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1F3864" w:themeColor="accent1"/>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1F3864"/>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Borders>
        <w:top w:val="single" w:sz="4" w:space="0" w:color="B8C4D9"/>
        <w:left w:val="single" w:sz="4" w:space="0" w:color="B8C4D9"/>
        <w:bottom w:val="single" w:sz="4" w:space="0" w:color="B8C4D9"/>
        <w:right w:val="single" w:sz="4" w:space="0" w:color="B8C4D9"/>
        <w:insideH w:val="single" w:sz="4" w:space="0" w:color="B8C4D9"/>
        <w:insideV w:val="single" w:sz="4" w:space="0" w:color="B8C4D9"/>
      </w:tblBorders>
      <w:tblCellMar>
        <w:top w:w="60" w:type="dxa"/>
        <w:left w:w="120" w:type="dxa"/>
        <w:bottom w:w="60" w:type="dxa"/>
        <w:right w:w="120" w:type="dxa"/>
      </w:tblCellMar>
    </w:tblPr>
    <w:tblStylePr w:type="firstRow">
      <w:rPr>
        <w:b/>
        <w:color w:val="FFFFFF"/>
      </w:rPr>
      <w:tblPr>
        <w:jc w:val="left"/>
      </w:tblPr>
      <w:trPr>
        <w:tblHeader/>
        <w:jc w:val="left"/>
      </w:trPr>
      <w:tcPr>
        <w:tcBorders>
          <w:bottom w:val="single" w:sz="4" w:space="0" w:color="1F3864"/>
        </w:tcBorders>
        <w:shd w:val="clear" w:color="auto" w:fill="1F3864"/>
        <w:vAlign w:val="center"/>
      </w:tcPr>
    </w:tblStylePr>
    <w:tblStylePr w:type="band1Horz">
      <w:tblPr/>
      <w:tcPr>
        <w:shd w:val="clear" w:color="auto" w:fill="EEF1F7"/>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F3864"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17294A"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1F3864"/>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890</Words>
  <Characters>5077</Characters>
  <Application>Microsoft Office Word</Application>
  <DocSecurity>0</DocSecurity>
  <Lines>42</Lines>
  <Paragraphs>11</Paragraphs>
  <ScaleCrop>false</ScaleCrop>
  <Company/>
  <LinksUpToDate>false</LinksUpToDate>
  <CharactersWithSpaces>5956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Pakistan Family Law System</dc:title>
  <dc:creator/>
  <cp:keywords/>
  <cp:lastModifiedBy>hareem124@outlook.com</cp:lastModifiedBy>
  <cp:revision>2</cp:revision>
  <dcterms:created xsi:type="dcterms:W3CDTF">2026-08-03T07:14:00Z</dcterms:created>
  <dcterms:modified xsi:type="dcterms:W3CDTF">2026-08-03T07:14:00Z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Question Bank ��� Reference Edition</vt:lpwstr>
  </property>
</Properties>
</file>