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35D14" w14:textId="6F264B57" w:rsidR="00E13E11" w:rsidRDefault="00E13E11" w:rsidP="00107B52">
      <w:pPr>
        <w:pStyle w:val="Title"/>
        <w:jc w:val="left"/>
      </w:pPr>
    </w:p>
    <w:p w14:paraId="7F5587BD" w14:textId="2B2540F1" w:rsidR="00E13E11" w:rsidRDefault="00C869EB" w:rsidP="00107B52">
      <w:pPr>
        <w:pStyle w:val="Subtitle"/>
      </w:pPr>
      <w:r>
        <w:t xml:space="preserve">Question Bank </w:t>
      </w:r>
    </w:p>
    <w:p w14:paraId="55EECE70" w14:textId="1E1885AE" w:rsidR="00E13E11" w:rsidRDefault="00C869EB" w:rsidP="00107B52">
      <w:bookmarkStart w:id="0" w:name="pakistan-family-law-system-question-bank"/>
      <w:bookmarkStart w:id="1" w:name="module-4-restitution-of-conjugal-rights"/>
      <w:r>
        <w:t xml:space="preserve"> RESTITUTION OF CONJUGAL RIGHTS</w:t>
      </w:r>
    </w:p>
    <w:p w14:paraId="45727F92" w14:textId="532F541B" w:rsidR="00E13E11" w:rsidRDefault="00C869EB">
      <w:pPr>
        <w:pStyle w:val="Heading3"/>
      </w:pPr>
      <w:bookmarkStart w:id="2" w:name="husband-wife"/>
      <w:r>
        <w:t xml:space="preserve"> Husband / Wife</w:t>
      </w:r>
    </w:p>
    <w:tbl>
      <w:tblPr>
        <w:tblStyle w:val="Table"/>
        <w:tblW w:w="5000" w:type="pct"/>
        <w:tblLook w:val="0020" w:firstRow="1" w:lastRow="0" w:firstColumn="0" w:lastColumn="0" w:noHBand="0" w:noVBand="0"/>
      </w:tblPr>
      <w:tblGrid>
        <w:gridCol w:w="389"/>
        <w:gridCol w:w="2491"/>
        <w:gridCol w:w="3905"/>
        <w:gridCol w:w="2565"/>
      </w:tblGrid>
      <w:tr w:rsidR="00E13E11" w14:paraId="01273F32"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5494D88F" w14:textId="77777777" w:rsidR="00E13E11" w:rsidRDefault="00C869EB">
            <w:pPr>
              <w:pStyle w:val="Compact"/>
            </w:pPr>
            <w:r>
              <w:t>#</w:t>
            </w:r>
          </w:p>
        </w:tc>
        <w:tc>
          <w:tcPr>
            <w:tcW w:w="0" w:type="auto"/>
          </w:tcPr>
          <w:p w14:paraId="6D44BB97" w14:textId="77777777" w:rsidR="00E13E11" w:rsidRDefault="00C869EB">
            <w:pPr>
              <w:pStyle w:val="Compact"/>
            </w:pPr>
            <w:r>
              <w:t>Question</w:t>
            </w:r>
          </w:p>
        </w:tc>
        <w:tc>
          <w:tcPr>
            <w:tcW w:w="0" w:type="auto"/>
          </w:tcPr>
          <w:p w14:paraId="00DD814D" w14:textId="77777777" w:rsidR="00E13E11" w:rsidRDefault="00C869EB">
            <w:pPr>
              <w:pStyle w:val="Compact"/>
            </w:pPr>
            <w:r>
              <w:t>Answer</w:t>
            </w:r>
          </w:p>
        </w:tc>
        <w:tc>
          <w:tcPr>
            <w:tcW w:w="0" w:type="auto"/>
          </w:tcPr>
          <w:p w14:paraId="4CB61A99" w14:textId="77777777" w:rsidR="00E13E11" w:rsidRDefault="00C869EB">
            <w:pPr>
              <w:pStyle w:val="Compact"/>
            </w:pPr>
            <w:r>
              <w:t>Law Reference</w:t>
            </w:r>
          </w:p>
        </w:tc>
      </w:tr>
      <w:tr w:rsidR="00E13E11" w14:paraId="55378E83" w14:textId="77777777">
        <w:tc>
          <w:tcPr>
            <w:tcW w:w="0" w:type="auto"/>
          </w:tcPr>
          <w:p w14:paraId="59B01769" w14:textId="77777777" w:rsidR="00E13E11" w:rsidRDefault="00C869EB">
            <w:pPr>
              <w:pStyle w:val="Compact"/>
            </w:pPr>
            <w:r>
              <w:t>1</w:t>
            </w:r>
          </w:p>
        </w:tc>
        <w:tc>
          <w:tcPr>
            <w:tcW w:w="0" w:type="auto"/>
          </w:tcPr>
          <w:p w14:paraId="537F0477" w14:textId="77777777" w:rsidR="00E13E11" w:rsidRDefault="00C869EB">
            <w:pPr>
              <w:pStyle w:val="Compact"/>
            </w:pPr>
            <w:r>
              <w:t>What is a suit for Restitution of Conjugal Rights (RCR)?</w:t>
            </w:r>
          </w:p>
        </w:tc>
        <w:tc>
          <w:tcPr>
            <w:tcW w:w="0" w:type="auto"/>
          </w:tcPr>
          <w:p w14:paraId="4ADB2F0F" w14:textId="77777777" w:rsidR="00E13E11" w:rsidRDefault="00C869EB">
            <w:pPr>
              <w:pStyle w:val="Compact"/>
            </w:pPr>
            <w:r>
              <w:t>A suit by either spouse, in practice usually the husband, seeking a decree directing the other spouse to resume cohabitation and conjugal life.</w:t>
            </w:r>
          </w:p>
        </w:tc>
        <w:tc>
          <w:tcPr>
            <w:tcW w:w="0" w:type="auto"/>
          </w:tcPr>
          <w:p w14:paraId="55A92685" w14:textId="77777777" w:rsidR="00E13E11" w:rsidRDefault="00C869EB">
            <w:pPr>
              <w:pStyle w:val="Compact"/>
            </w:pPr>
            <w:r>
              <w:t>Family Courts Act 1964, Schedule (Restitution of Conjugal Rights)</w:t>
            </w:r>
          </w:p>
        </w:tc>
      </w:tr>
      <w:tr w:rsidR="00E13E11" w14:paraId="7288AF93" w14:textId="77777777">
        <w:tc>
          <w:tcPr>
            <w:tcW w:w="0" w:type="auto"/>
          </w:tcPr>
          <w:p w14:paraId="4F631B65" w14:textId="77777777" w:rsidR="00E13E11" w:rsidRDefault="00C869EB">
            <w:pPr>
              <w:pStyle w:val="Compact"/>
            </w:pPr>
            <w:r>
              <w:t>2</w:t>
            </w:r>
          </w:p>
        </w:tc>
        <w:tc>
          <w:tcPr>
            <w:tcW w:w="0" w:type="auto"/>
          </w:tcPr>
          <w:p w14:paraId="281EC96F" w14:textId="77777777" w:rsidR="00E13E11" w:rsidRDefault="00C869EB">
            <w:pPr>
              <w:pStyle w:val="Compact"/>
            </w:pPr>
            <w:r>
              <w:t>Can a decree for RCR be enforced by force or physical compulsion?</w:t>
            </w:r>
          </w:p>
        </w:tc>
        <w:tc>
          <w:tcPr>
            <w:tcW w:w="0" w:type="auto"/>
          </w:tcPr>
          <w:p w14:paraId="402275B3" w14:textId="77777777" w:rsidR="00E13E11" w:rsidRDefault="00C869EB">
            <w:pPr>
              <w:pStyle w:val="Compact"/>
            </w:pPr>
            <w:r>
              <w:t>No. Courts generally do not physically compel cohabitation; a decree is more declaratory in nature and can affect ancillary rights, such as maintenance, if the wife’s refusal is found unjustified.</w:t>
            </w:r>
          </w:p>
        </w:tc>
        <w:tc>
          <w:tcPr>
            <w:tcW w:w="0" w:type="auto"/>
          </w:tcPr>
          <w:p w14:paraId="050A2DB8" w14:textId="77777777" w:rsidR="00E13E11" w:rsidRDefault="00C869EB">
            <w:pPr>
              <w:pStyle w:val="Compact"/>
            </w:pPr>
            <w:r>
              <w:t>General jurisprudence under the Family Courts Act 1964; the principle that conjugal rights are not specifically enforced by force</w:t>
            </w:r>
          </w:p>
        </w:tc>
      </w:tr>
      <w:tr w:rsidR="00E13E11" w14:paraId="3A47EF01" w14:textId="77777777">
        <w:tc>
          <w:tcPr>
            <w:tcW w:w="0" w:type="auto"/>
          </w:tcPr>
          <w:p w14:paraId="00C4A267" w14:textId="77777777" w:rsidR="00E13E11" w:rsidRDefault="00C869EB">
            <w:pPr>
              <w:pStyle w:val="Compact"/>
            </w:pPr>
            <w:r>
              <w:t>3</w:t>
            </w:r>
          </w:p>
        </w:tc>
        <w:tc>
          <w:tcPr>
            <w:tcW w:w="0" w:type="auto"/>
          </w:tcPr>
          <w:p w14:paraId="1296F09C" w14:textId="77777777" w:rsidR="00E13E11" w:rsidRDefault="00C869EB">
            <w:pPr>
              <w:pStyle w:val="Compact"/>
            </w:pPr>
            <w:r>
              <w:t xml:space="preserve">What </w:t>
            </w:r>
            <w:proofErr w:type="spellStart"/>
            <w:r>
              <w:t>defences</w:t>
            </w:r>
            <w:proofErr w:type="spellEnd"/>
            <w:r>
              <w:t xml:space="preserve"> can the wife raise against an RCR suit?</w:t>
            </w:r>
          </w:p>
        </w:tc>
        <w:tc>
          <w:tcPr>
            <w:tcW w:w="0" w:type="auto"/>
          </w:tcPr>
          <w:p w14:paraId="43994413" w14:textId="77777777" w:rsidR="00E13E11" w:rsidRDefault="00C869EB">
            <w:pPr>
              <w:pStyle w:val="Compact"/>
            </w:pPr>
            <w:r>
              <w:t xml:space="preserve">Cruelty, non-payment of Haq </w:t>
            </w:r>
            <w:proofErr w:type="spellStart"/>
            <w:r>
              <w:t>Mehr</w:t>
            </w:r>
            <w:proofErr w:type="spellEnd"/>
            <w:r>
              <w:t>, failure to provide separate residence or maintenance, the husband’s second marriage without permission or consent, or other lawful grounds justifying her refusal to live with the husband.</w:t>
            </w:r>
          </w:p>
        </w:tc>
        <w:tc>
          <w:tcPr>
            <w:tcW w:w="0" w:type="auto"/>
          </w:tcPr>
          <w:p w14:paraId="69D5631B" w14:textId="77777777" w:rsidR="00E13E11" w:rsidRDefault="00C869EB">
            <w:pPr>
              <w:pStyle w:val="Compact"/>
            </w:pPr>
            <w:r>
              <w:t>MFLO 1961, s.6, s.9; DMMA 1939, s.2 grounds, applied by analogy; general Family Court jurisprudence</w:t>
            </w:r>
          </w:p>
        </w:tc>
      </w:tr>
      <w:tr w:rsidR="00E13E11" w14:paraId="009F2AC4" w14:textId="77777777">
        <w:tc>
          <w:tcPr>
            <w:tcW w:w="0" w:type="auto"/>
          </w:tcPr>
          <w:p w14:paraId="74A8DE4A" w14:textId="77777777" w:rsidR="00E13E11" w:rsidRDefault="00C869EB">
            <w:pPr>
              <w:pStyle w:val="Compact"/>
            </w:pPr>
            <w:r>
              <w:t>4</w:t>
            </w:r>
          </w:p>
        </w:tc>
        <w:tc>
          <w:tcPr>
            <w:tcW w:w="0" w:type="auto"/>
          </w:tcPr>
          <w:p w14:paraId="0D64B06D" w14:textId="77777777" w:rsidR="00E13E11" w:rsidRDefault="00C869EB">
            <w:pPr>
              <w:pStyle w:val="Compact"/>
            </w:pPr>
            <w:r>
              <w:t>Does filing an RCR suit affect the wife’s separate maintenance claim?</w:t>
            </w:r>
          </w:p>
        </w:tc>
        <w:tc>
          <w:tcPr>
            <w:tcW w:w="0" w:type="auto"/>
          </w:tcPr>
          <w:p w14:paraId="6AD0FC85" w14:textId="77777777" w:rsidR="00E13E11" w:rsidRDefault="00C869EB">
            <w:pPr>
              <w:pStyle w:val="Compact"/>
            </w:pPr>
            <w:r>
              <w:t>The two can proceed together or separately; a finding that the wife is justified in living separately can support her maintenance claim despite the pending RCR suit.</w:t>
            </w:r>
          </w:p>
        </w:tc>
        <w:tc>
          <w:tcPr>
            <w:tcW w:w="0" w:type="auto"/>
          </w:tcPr>
          <w:p w14:paraId="6E74599F" w14:textId="77777777" w:rsidR="00E13E11" w:rsidRDefault="00C869EB">
            <w:pPr>
              <w:pStyle w:val="Compact"/>
            </w:pPr>
            <w:r>
              <w:t>Family Courts Act 1964, Schedule; case law</w:t>
            </w:r>
          </w:p>
        </w:tc>
      </w:tr>
      <w:tr w:rsidR="00E13E11" w14:paraId="083F15F6" w14:textId="77777777">
        <w:tc>
          <w:tcPr>
            <w:tcW w:w="0" w:type="auto"/>
          </w:tcPr>
          <w:p w14:paraId="75385A5F" w14:textId="77777777" w:rsidR="00E13E11" w:rsidRDefault="00C869EB">
            <w:pPr>
              <w:pStyle w:val="Compact"/>
            </w:pPr>
            <w:r>
              <w:t>5</w:t>
            </w:r>
          </w:p>
        </w:tc>
        <w:tc>
          <w:tcPr>
            <w:tcW w:w="0" w:type="auto"/>
          </w:tcPr>
          <w:p w14:paraId="0DEFDF0F" w14:textId="77777777" w:rsidR="00E13E11" w:rsidRDefault="00C869EB">
            <w:pPr>
              <w:pStyle w:val="Compact"/>
            </w:pPr>
            <w:r>
              <w:t>Can an RCR suit be filed simultaneously with a maintenance or khula suit, or must they be sequential?</w:t>
            </w:r>
          </w:p>
        </w:tc>
        <w:tc>
          <w:tcPr>
            <w:tcW w:w="0" w:type="auto"/>
          </w:tcPr>
          <w:p w14:paraId="464CFAB8" w14:textId="77777777" w:rsidR="00E13E11" w:rsidRDefault="00C869EB">
            <w:pPr>
              <w:pStyle w:val="Compact"/>
            </w:pPr>
            <w:r>
              <w:t>They may proceed together. The Family Courts Act consolidates all family-related claims — RCR, khula, maintenance, custody, dower, and dowry articles — so they can be tried and decided in one composite suit, avoiding a multiplicity of litigation.</w:t>
            </w:r>
          </w:p>
        </w:tc>
        <w:tc>
          <w:tcPr>
            <w:tcW w:w="0" w:type="auto"/>
          </w:tcPr>
          <w:p w14:paraId="123B4E7F" w14:textId="77777777" w:rsidR="00E13E11" w:rsidRDefault="00C869EB">
            <w:pPr>
              <w:pStyle w:val="Compact"/>
            </w:pPr>
            <w:r>
              <w:t>Family Courts Act 1964, s.5 &amp; Schedule, as amended</w:t>
            </w:r>
          </w:p>
        </w:tc>
      </w:tr>
      <w:tr w:rsidR="00E13E11" w14:paraId="7BD621D0" w14:textId="77777777">
        <w:tc>
          <w:tcPr>
            <w:tcW w:w="0" w:type="auto"/>
          </w:tcPr>
          <w:p w14:paraId="773A3E34" w14:textId="77777777" w:rsidR="00E13E11" w:rsidRDefault="00C869EB">
            <w:pPr>
              <w:pStyle w:val="Compact"/>
            </w:pPr>
            <w:r>
              <w:t>6</w:t>
            </w:r>
          </w:p>
        </w:tc>
        <w:tc>
          <w:tcPr>
            <w:tcW w:w="0" w:type="auto"/>
          </w:tcPr>
          <w:p w14:paraId="107147CE" w14:textId="77777777" w:rsidR="00E13E11" w:rsidRDefault="00C869EB">
            <w:pPr>
              <w:pStyle w:val="Compact"/>
            </w:pPr>
            <w:r>
              <w:t>Does a wife’s refusal to cohabit due to non-payment of prompt dower automatically defeat an RCR suit?</w:t>
            </w:r>
          </w:p>
        </w:tc>
        <w:tc>
          <w:tcPr>
            <w:tcW w:w="0" w:type="auto"/>
          </w:tcPr>
          <w:p w14:paraId="64DC6780" w14:textId="77777777" w:rsidR="00E13E11" w:rsidRDefault="00C869EB">
            <w:pPr>
              <w:pStyle w:val="Compact"/>
            </w:pPr>
            <w:r>
              <w:t>Yes, in principle. Non-payment of prompt (</w:t>
            </w:r>
            <w:proofErr w:type="spellStart"/>
            <w:r>
              <w:t>Muajjal</w:t>
            </w:r>
            <w:proofErr w:type="spellEnd"/>
            <w:r>
              <w:t xml:space="preserve">) dower is </w:t>
            </w:r>
            <w:proofErr w:type="spellStart"/>
            <w:r>
              <w:t>recognised</w:t>
            </w:r>
            <w:proofErr w:type="spellEnd"/>
            <w:r>
              <w:t xml:space="preserve"> as a valid, lawful excuse for the wife to withhold cohabitation, and an RCR decree is ordinarily refused until the dower is paid or secured.</w:t>
            </w:r>
          </w:p>
        </w:tc>
        <w:tc>
          <w:tcPr>
            <w:tcW w:w="0" w:type="auto"/>
          </w:tcPr>
          <w:p w14:paraId="767B8625" w14:textId="77777777" w:rsidR="00E13E11" w:rsidRDefault="00C869EB">
            <w:pPr>
              <w:pStyle w:val="Compact"/>
            </w:pPr>
            <w:r>
              <w:t xml:space="preserve">MFLO 1961, s.10; general Islamic law of </w:t>
            </w:r>
            <w:proofErr w:type="spellStart"/>
            <w:r>
              <w:t>Mehr</w:t>
            </w:r>
            <w:proofErr w:type="spellEnd"/>
            <w:r>
              <w:t xml:space="preserve"> as applied in Family Court practice</w:t>
            </w:r>
          </w:p>
        </w:tc>
      </w:tr>
      <w:tr w:rsidR="00E13E11" w14:paraId="03108A16" w14:textId="77777777">
        <w:tc>
          <w:tcPr>
            <w:tcW w:w="0" w:type="auto"/>
          </w:tcPr>
          <w:p w14:paraId="60DC29D0" w14:textId="77777777" w:rsidR="00E13E11" w:rsidRDefault="00C869EB">
            <w:pPr>
              <w:pStyle w:val="Compact"/>
            </w:pPr>
            <w:r>
              <w:t>7</w:t>
            </w:r>
          </w:p>
        </w:tc>
        <w:tc>
          <w:tcPr>
            <w:tcW w:w="0" w:type="auto"/>
          </w:tcPr>
          <w:p w14:paraId="793CF723" w14:textId="77777777" w:rsidR="00E13E11" w:rsidRDefault="00C869EB">
            <w:pPr>
              <w:pStyle w:val="Compact"/>
            </w:pPr>
            <w:r>
              <w:t>Can an RCR decree be executed against a wife who has since left the country?</w:t>
            </w:r>
          </w:p>
        </w:tc>
        <w:tc>
          <w:tcPr>
            <w:tcW w:w="0" w:type="auto"/>
          </w:tcPr>
          <w:p w14:paraId="32E1ED1B" w14:textId="77777777" w:rsidR="00E13E11" w:rsidRDefault="00C869EB">
            <w:pPr>
              <w:pStyle w:val="Compact"/>
            </w:pPr>
            <w:r>
              <w:t>An RCR decree is not specifically enforced by compulsion in any event, so relocation abroad does not itself create a fresh enforcement problem; the decree’s practical effect remains limited to its bearing on ancillary claims such as maintenance, which can still be litigated regardless of the wife’s location, subject to questions of jurisdiction and service.</w:t>
            </w:r>
          </w:p>
        </w:tc>
        <w:tc>
          <w:tcPr>
            <w:tcW w:w="0" w:type="auto"/>
          </w:tcPr>
          <w:p w14:paraId="2051F429" w14:textId="77777777" w:rsidR="00E13E11" w:rsidRDefault="00C869EB">
            <w:pPr>
              <w:pStyle w:val="Compact"/>
            </w:pPr>
            <w:r>
              <w:t>General jurisprudence under the Family Courts Act 1964</w:t>
            </w:r>
          </w:p>
        </w:tc>
      </w:tr>
    </w:tbl>
    <w:p w14:paraId="2C8E2285" w14:textId="15C38D12" w:rsidR="00E13E11" w:rsidRDefault="00C869EB">
      <w:pPr>
        <w:pStyle w:val="Heading3"/>
      </w:pPr>
      <w:bookmarkStart w:id="3" w:name="family-court-judge-1"/>
      <w:bookmarkEnd w:id="2"/>
      <w:r>
        <w:t xml:space="preserve"> Family Court Judge</w:t>
      </w:r>
    </w:p>
    <w:tbl>
      <w:tblPr>
        <w:tblStyle w:val="Table"/>
        <w:tblW w:w="5000" w:type="pct"/>
        <w:tblLook w:val="0020" w:firstRow="1" w:lastRow="0" w:firstColumn="0" w:lastColumn="0" w:noHBand="0" w:noVBand="0"/>
      </w:tblPr>
      <w:tblGrid>
        <w:gridCol w:w="390"/>
        <w:gridCol w:w="2057"/>
        <w:gridCol w:w="4451"/>
        <w:gridCol w:w="2452"/>
      </w:tblGrid>
      <w:tr w:rsidR="00E13E11" w14:paraId="1F30E80A"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63CF0875" w14:textId="77777777" w:rsidR="00E13E11" w:rsidRDefault="00C869EB">
            <w:pPr>
              <w:pStyle w:val="Compact"/>
            </w:pPr>
            <w:r>
              <w:t>#</w:t>
            </w:r>
          </w:p>
        </w:tc>
        <w:tc>
          <w:tcPr>
            <w:tcW w:w="0" w:type="auto"/>
          </w:tcPr>
          <w:p w14:paraId="18844D91" w14:textId="77777777" w:rsidR="00E13E11" w:rsidRDefault="00C869EB">
            <w:pPr>
              <w:pStyle w:val="Compact"/>
            </w:pPr>
            <w:r>
              <w:t>Question</w:t>
            </w:r>
          </w:p>
        </w:tc>
        <w:tc>
          <w:tcPr>
            <w:tcW w:w="0" w:type="auto"/>
          </w:tcPr>
          <w:p w14:paraId="26A07E15" w14:textId="77777777" w:rsidR="00E13E11" w:rsidRDefault="00C869EB">
            <w:pPr>
              <w:pStyle w:val="Compact"/>
            </w:pPr>
            <w:r>
              <w:t>Answer</w:t>
            </w:r>
          </w:p>
        </w:tc>
        <w:tc>
          <w:tcPr>
            <w:tcW w:w="0" w:type="auto"/>
          </w:tcPr>
          <w:p w14:paraId="7611AD43" w14:textId="77777777" w:rsidR="00E13E11" w:rsidRDefault="00C869EB">
            <w:pPr>
              <w:pStyle w:val="Compact"/>
            </w:pPr>
            <w:r>
              <w:t>Law Reference</w:t>
            </w:r>
          </w:p>
        </w:tc>
      </w:tr>
      <w:tr w:rsidR="00E13E11" w14:paraId="16CB3672" w14:textId="77777777">
        <w:tc>
          <w:tcPr>
            <w:tcW w:w="0" w:type="auto"/>
          </w:tcPr>
          <w:p w14:paraId="3242957C" w14:textId="77777777" w:rsidR="00E13E11" w:rsidRDefault="00C869EB">
            <w:pPr>
              <w:pStyle w:val="Compact"/>
            </w:pPr>
            <w:r>
              <w:t>1</w:t>
            </w:r>
          </w:p>
        </w:tc>
        <w:tc>
          <w:tcPr>
            <w:tcW w:w="0" w:type="auto"/>
          </w:tcPr>
          <w:p w14:paraId="3F6D8552" w14:textId="77777777" w:rsidR="00E13E11" w:rsidRDefault="00C869EB">
            <w:pPr>
              <w:pStyle w:val="Compact"/>
            </w:pPr>
            <w:r>
              <w:t>What is the Family Court’s typical approach to RCR suits?</w:t>
            </w:r>
          </w:p>
        </w:tc>
        <w:tc>
          <w:tcPr>
            <w:tcW w:w="0" w:type="auto"/>
          </w:tcPr>
          <w:p w14:paraId="67A07B5F" w14:textId="77777777" w:rsidR="00E13E11" w:rsidRDefault="00C869EB">
            <w:pPr>
              <w:pStyle w:val="Compact"/>
            </w:pPr>
            <w:r>
              <w:t xml:space="preserve">Courts </w:t>
            </w:r>
            <w:proofErr w:type="spellStart"/>
            <w:r>
              <w:t>scrutinise</w:t>
            </w:r>
            <w:proofErr w:type="spellEnd"/>
            <w:r>
              <w:t xml:space="preserve"> the reason for separation; if the wife shows just cause, such as cruelty or non-maintenance, RCR is refused notwithstanding the husband’s claim.</w:t>
            </w:r>
          </w:p>
        </w:tc>
        <w:tc>
          <w:tcPr>
            <w:tcW w:w="0" w:type="auto"/>
          </w:tcPr>
          <w:p w14:paraId="12A9CA86" w14:textId="77777777" w:rsidR="00E13E11" w:rsidRDefault="00C869EB">
            <w:pPr>
              <w:pStyle w:val="Compact"/>
            </w:pPr>
            <w:r>
              <w:t>Family Courts Act 1964; established case law across the reported series</w:t>
            </w:r>
          </w:p>
        </w:tc>
      </w:tr>
    </w:tbl>
    <w:p w14:paraId="0CF47CFF" w14:textId="60FE8043" w:rsidR="00E13E11" w:rsidRDefault="00C869EB">
      <w:pPr>
        <w:pStyle w:val="Heading3"/>
      </w:pPr>
      <w:bookmarkStart w:id="4" w:name="X3e4d5f94f4776694fe2e682dad2a0119cb57032"/>
      <w:bookmarkEnd w:id="3"/>
      <w:r>
        <w:t xml:space="preserve"> Advocate / Lawyer, Mediator / Conciliator (Secondary)</w:t>
      </w:r>
    </w:p>
    <w:tbl>
      <w:tblPr>
        <w:tblStyle w:val="Table"/>
        <w:tblW w:w="5000" w:type="pct"/>
        <w:tblLook w:val="0020" w:firstRow="1" w:lastRow="0" w:firstColumn="0" w:lastColumn="0" w:noHBand="0" w:noVBand="0"/>
      </w:tblPr>
      <w:tblGrid>
        <w:gridCol w:w="389"/>
        <w:gridCol w:w="2392"/>
        <w:gridCol w:w="4678"/>
        <w:gridCol w:w="1891"/>
      </w:tblGrid>
      <w:tr w:rsidR="00E13E11" w14:paraId="17FDBF7C"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1A6C045A" w14:textId="77777777" w:rsidR="00E13E11" w:rsidRDefault="00C869EB">
            <w:pPr>
              <w:pStyle w:val="Compact"/>
            </w:pPr>
            <w:r>
              <w:t>#</w:t>
            </w:r>
          </w:p>
        </w:tc>
        <w:tc>
          <w:tcPr>
            <w:tcW w:w="0" w:type="auto"/>
          </w:tcPr>
          <w:p w14:paraId="3CEFAFA3" w14:textId="77777777" w:rsidR="00E13E11" w:rsidRDefault="00C869EB">
            <w:pPr>
              <w:pStyle w:val="Compact"/>
            </w:pPr>
            <w:r>
              <w:t>Question</w:t>
            </w:r>
          </w:p>
        </w:tc>
        <w:tc>
          <w:tcPr>
            <w:tcW w:w="0" w:type="auto"/>
          </w:tcPr>
          <w:p w14:paraId="5231C9DE" w14:textId="77777777" w:rsidR="00E13E11" w:rsidRDefault="00C869EB">
            <w:pPr>
              <w:pStyle w:val="Compact"/>
            </w:pPr>
            <w:r>
              <w:t>Answer</w:t>
            </w:r>
          </w:p>
        </w:tc>
        <w:tc>
          <w:tcPr>
            <w:tcW w:w="0" w:type="auto"/>
          </w:tcPr>
          <w:p w14:paraId="5B1A38B1" w14:textId="77777777" w:rsidR="00E13E11" w:rsidRDefault="00C869EB">
            <w:pPr>
              <w:pStyle w:val="Compact"/>
            </w:pPr>
            <w:r>
              <w:t>Law Reference</w:t>
            </w:r>
          </w:p>
        </w:tc>
      </w:tr>
      <w:tr w:rsidR="00E13E11" w14:paraId="585DE50E" w14:textId="77777777">
        <w:tc>
          <w:tcPr>
            <w:tcW w:w="0" w:type="auto"/>
          </w:tcPr>
          <w:p w14:paraId="7CA7C213" w14:textId="77777777" w:rsidR="00E13E11" w:rsidRDefault="00C869EB">
            <w:pPr>
              <w:pStyle w:val="Compact"/>
            </w:pPr>
            <w:r>
              <w:t>1</w:t>
            </w:r>
          </w:p>
        </w:tc>
        <w:tc>
          <w:tcPr>
            <w:tcW w:w="0" w:type="auto"/>
          </w:tcPr>
          <w:p w14:paraId="4ACD3E6D" w14:textId="77777777" w:rsidR="00E13E11" w:rsidRDefault="00C869EB">
            <w:pPr>
              <w:pStyle w:val="Compact"/>
            </w:pPr>
            <w:r>
              <w:t>Is mediation attempted before an RCR decree?</w:t>
            </w:r>
          </w:p>
        </w:tc>
        <w:tc>
          <w:tcPr>
            <w:tcW w:w="0" w:type="auto"/>
          </w:tcPr>
          <w:p w14:paraId="3EE0A840" w14:textId="77777777" w:rsidR="00E13E11" w:rsidRDefault="00C869EB">
            <w:pPr>
              <w:pStyle w:val="Compact"/>
            </w:pPr>
            <w:r>
              <w:t>Yes. Pre-trial reconciliation proceedings under the Family Courts Act apply to RCR suits as with other family suits.</w:t>
            </w:r>
          </w:p>
        </w:tc>
        <w:tc>
          <w:tcPr>
            <w:tcW w:w="0" w:type="auto"/>
          </w:tcPr>
          <w:p w14:paraId="4BA3721F" w14:textId="77777777" w:rsidR="00E13E11" w:rsidRDefault="00C869EB">
            <w:pPr>
              <w:pStyle w:val="Compact"/>
            </w:pPr>
            <w:r>
              <w:t>Family Courts Act 1964, s.10</w:t>
            </w:r>
          </w:p>
        </w:tc>
      </w:tr>
    </w:tbl>
    <w:p w14:paraId="57BD0B4C" w14:textId="5ADD2F67" w:rsidR="00E13E11" w:rsidRDefault="00D07686" w:rsidP="005B0E9C">
      <w:bookmarkStart w:id="5" w:name="key-reference-statutes-index"/>
      <w:bookmarkEnd w:id="4"/>
      <w:bookmarkEnd w:id="1"/>
      <w:r>
        <w:rPr>
          <w:noProof/>
        </w:rPr>
      </w:r>
      <w:r w:rsidR="00D07686">
        <w:rPr>
          <w:noProof/>
        </w:rPr>
        <w:pict w14:anchorId="73B71C32">
          <v:rect id="_x0000_i1037" style="width:0;height:1.5pt" o:hralign="center" o:hrstd="t" o:hr="t"/>
        </w:pict>
      </w:r>
      <w:bookmarkStart w:id="6" w:name="disclaimer"/>
      <w:bookmarkEnd w:id="5"/>
    </w:p>
    <w:bookmarkEnd w:id="6"/>
    <w:bookmarkEnd w:id="0"/>
    <w:sectPr w:rsidR="00E13E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AF125D" w14:textId="77777777" w:rsidR="00C869EB" w:rsidRDefault="00C869EB">
      <w:pPr>
        <w:spacing w:after="0"/>
      </w:pPr>
      <w:r>
        <w:separator/>
      </w:r>
    </w:p>
  </w:endnote>
  <w:endnote w:type="continuationSeparator" w:id="0">
    <w:p w14:paraId="4F93E355" w14:textId="77777777" w:rsidR="00C869EB" w:rsidRDefault="00C869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11E27B" w14:textId="77777777" w:rsidR="00E13E11" w:rsidRDefault="00C869EB">
      <w:r>
        <w:separator/>
      </w:r>
    </w:p>
  </w:footnote>
  <w:footnote w:type="continuationSeparator" w:id="0">
    <w:p w14:paraId="6F08C72C" w14:textId="77777777" w:rsidR="00E13E11" w:rsidRDefault="00C86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66037043">
    <w:abstractNumId w:val="0"/>
  </w:num>
  <w:num w:numId="2" w16cid:durableId="521013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61197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11"/>
    <w:rsid w:val="00107B52"/>
    <w:rsid w:val="005B0E9C"/>
    <w:rsid w:val="00676D34"/>
    <w:rsid w:val="006D7692"/>
    <w:rsid w:val="0071732C"/>
    <w:rsid w:val="00787D0F"/>
    <w:rsid w:val="009106CD"/>
    <w:rsid w:val="00A87002"/>
    <w:rsid w:val="00C869EB"/>
    <w:rsid w:val="00CA5B75"/>
    <w:rsid w:val="00D07686"/>
    <w:rsid w:val="00E13E11"/>
    <w:rsid w:val="00EC38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954C9D7"/>
  <w15:docId w15:val="{D3FD6536-02E4-544E-9786-5C0E4B97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3864"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3864"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3864"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3864"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3864"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386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864" w:themeColor="accen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1F3864"/>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top w:w="60" w:type="dxa"/>
        <w:left w:w="120" w:type="dxa"/>
        <w:bottom w:w="60" w:type="dxa"/>
        <w:right w:w="120" w:type="dxa"/>
      </w:tblCellMar>
    </w:tblPr>
    <w:tblStylePr w:type="firstRow">
      <w:rPr>
        <w:b/>
        <w:color w:val="FFFFFF"/>
      </w:rPr>
      <w:tblPr>
        <w:jc w:val="left"/>
      </w:tblPr>
      <w:trPr>
        <w:tblHeader/>
        <w:jc w:val="left"/>
      </w:trPr>
      <w:tcPr>
        <w:tcBorders>
          <w:bottom w:val="single" w:sz="4" w:space="0" w:color="1F3864"/>
        </w:tcBorders>
        <w:shd w:val="clear" w:color="auto" w:fill="1F3864"/>
        <w:vAlign w:val="center"/>
      </w:tcPr>
    </w:tblStylePr>
    <w:tblStylePr w:type="band1Horz">
      <w:tblPr/>
      <w:tcPr>
        <w:shd w:val="clear" w:color="auto" w:fill="EEF1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F386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17294A"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F386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Family Law System</dc:title>
  <dc:creator/>
  <cp:keywords/>
  <cp:lastModifiedBy>hareem124@outlook.com</cp:lastModifiedBy>
  <cp:revision>2</cp:revision>
  <dcterms:created xsi:type="dcterms:W3CDTF">2026-08-03T06:27:00Z</dcterms:created>
  <dcterms:modified xsi:type="dcterms:W3CDTF">2026-08-03T06:27:00Z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 Bank ��� Reference Edition</vt:lpwstr>
  </property>
</Properties>
</file>