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u w:val="single"/>
        </w:rPr>
      </w:pPr>
      <w:bookmarkStart w:colFirst="0" w:colLast="0" w:name="_vld8a3lj1914" w:id="0"/>
      <w:bookmarkEnd w:id="0"/>
      <w:r w:rsidDel="00000000" w:rsidR="00000000" w:rsidRPr="00000000">
        <w:rPr>
          <w:u w:val="single"/>
          <w:rtl w:val="0"/>
        </w:rPr>
        <w:t xml:space="preserve">Question bank</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mtw31h0whwd" w:id="1"/>
      <w:bookmarkEnd w:id="1"/>
      <w:r w:rsidDel="00000000" w:rsidR="00000000" w:rsidRPr="00000000">
        <w:rPr>
          <w:b w:val="1"/>
          <w:bCs w:val="1"/>
          <w:sz w:val="46"/>
          <w:szCs w:val="46"/>
          <w:rtl w:val="0"/>
        </w:rPr>
        <w:t xml:space="preserve">Succession / Inheritance Suit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4mmyceeagj1" w:id="2"/>
      <w:bookmarkEnd w:id="2"/>
      <w:r w:rsidDel="00000000" w:rsidR="00000000" w:rsidRPr="00000000">
        <w:rPr>
          <w:b w:val="1"/>
          <w:bCs w:val="1"/>
          <w:sz w:val="34"/>
          <w:szCs w:val="34"/>
          <w:rtl w:val="0"/>
        </w:rPr>
        <w:t xml:space="preserve">1. LEGAL HEIRS (Primary User — petitioner/applicant heirs)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2384.0585774058577"/>
        <w:gridCol w:w="3793.9330543933056"/>
        <w:gridCol w:w="2721.8410041841003"/>
        <w:tblGridChange w:id="0">
          <w:tblGrid>
            <w:gridCol w:w="460.1673640167364"/>
            <w:gridCol w:w="2384.0585774058577"/>
            <w:gridCol w:w="3793.9330543933056"/>
            <w:gridCol w:w="2721.84100418410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How are shares determined for a deceased Muslim's 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By classical Qur'anic/Sharia rules of inheritance (Faraid) as applied through Pakistani statute — fixed shares for spouse, children, and parents, with residue distributed among agnatic heirs; Shia succession follows the Shia school's own rules where the deceased was Shia.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West Pakistan Muslim Personal Law (Shariat) Application Act 1962, s.4 (agricultural land) &amp; general application; MFLO 1961 (representation of orphaned grandchildren, s.4)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Can a deceased Muslim's grandchild (whose parent predeceased the grandparent) inherit?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Yes — under s.4 MFLO, the share their deceased parent would have taken devolves upon such grandchildren by representation, a departure from classical doctrine that courts apply as settled statutory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MFLO 1961, s.4</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How does inheritance work for non-Muslims (Christians, Parsis,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Broadly under the Succession Act 1925 — intestate succession gives roughly equal shares among children (sons and daughters alike) with the widow taking 1/3 to 1/2 depending on surviving relatives; testate succession follows the will subject to probate/letters of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Succession Act 1925, ss.24–49 (intestate succession, Part V)</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Can a legal heir be deliberately excluded from inheritance — is that a crime?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Yes — deliberately depriving a woman of her inheritance share in movable or immovable property by deceitful or illegal means is a specific criminal offence.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Pakistan Penal Code 1860, s.498-A (as inserted/amended); U.S. State Dept human rights report citing this provision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What documents does an heir need to start the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Death certificate (Union Council/NADRA), Family Registration Certificate (FRC) from NADRA showing the full family tree, CNICs of all heirs, and (for immovable property) the existing land record (Fard/Jamabandi).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NADRA succession-certificate guidance; commoner-law inheritance guide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How does an heir claim movable assets (bank accounts, shares, prize bonds)?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By obtaining a Succession Certificate — either through a civil court petition under ss.370–390 of the Succession Act 1925, or (in provinces/territories where notified) through NADRA's Succession Facilitation Unit under the applicable Letters of Administration and Succession Certificates Act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Succession Act 1925, ss.372–381; Punjab Letters of Administration and Succession Certificates Act 2021</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How does an heir claim immovable property (land/house)?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By applying for mutation (intiqal) in the revenue record before the Patwari/Tehsildar, supported by the death certificate, FRC, and CNICs of heirs; if contested, a declaratory/partition suit must be filed in the Civil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West Pakistan Land Revenue Act 1967, ss.42–47 (mutation)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Can one heir act on behalf of all the others to get a succession certificate/mutation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Yes, provided that heir holds written authorization from the other legal heirs; NADRA and revenue authorities require this authorization to be on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Letters of Administration and Succession Certificates Act 2021, s.6; NADRA application requirements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What if one heir refuses to allow mutation or is occupying the whole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The aggrieved heir(s) can serve notice, and if refused, file a partition suit or a suit for declaration/possession in the Civil Court; in the interim, provincial women's-property-rights enforcement mechanisms (see below) may also apply if the aggrieved heir is a woman.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CPC 1908 (partition suit practice); Enforcement of Women's Property Rights Acts (KP 2019 / Punjab 2021)</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Is there a time limit for claiming an inheritance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Generally no limitation bars an heir's underlying inheritance right, since it vests immediately on the deceased's death, but delay can affect evidentiary strength and possessory/adverse-possession arguments raised by whoever is in occupation — courts assess this on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General principle recognized in succession jurisprudence; Limitation Act 1908 (possession-based claims)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Can a legal heir who is abroad still pursue succession?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Yes — through an authorized attorney/heir in Pakistan, or via biometric verification at NADRA's Succession Facilitation Units or Pakistani missions abroad (London, Manchester, Birmingham, Bradford, Jeddah, Riyadh, Medina, Dubai, Abu Dhabi, Doha, etc.), or by executing a properly attested power of attorney for civil-court proceedings.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NADRA Succession Certificate procedure (overseas provisions)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Was an heir's claim upheld even where lower courts wrongly rejected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Yes — in a reported case, a widow's claim to her Shari share was rejected by the Trial Court and first Appellate Court on the ground she had allegedly been divorced; the High Court set aside both findings and directed recognition/revocation of the succession certificate in her favour.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i w:val="1"/>
                <w:iCs w:val="1"/>
                <w:rtl w:val="0"/>
              </w:rPr>
              <w:t xml:space="preserve">Mst. Musarat v. Aziz Ahmad</w:t>
            </w:r>
            <w:r w:rsidDel="00000000" w:rsidR="00000000" w:rsidRPr="00000000">
              <w:rPr>
                <w:rtl w:val="0"/>
              </w:rPr>
              <w:t xml:space="preserve"> (High Court ruling on succession certificate entitlement)</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u09h8koresq7" w:id="3"/>
      <w:bookmarkEnd w:id="3"/>
      <w:r w:rsidDel="00000000" w:rsidR="00000000" w:rsidRPr="00000000">
        <w:rPr>
          <w:b w:val="1"/>
          <w:bCs w:val="1"/>
          <w:sz w:val="34"/>
          <w:szCs w:val="34"/>
          <w:rtl w:val="0"/>
        </w:rPr>
        <w:t xml:space="preserve">2. EXECUTOR (where there is a Will)</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1409921671018"/>
        <w:gridCol w:w="2013.7441253263707"/>
        <w:gridCol w:w="4829.075718015666"/>
        <w:gridCol w:w="2175.039164490862"/>
        <w:tblGridChange w:id="0">
          <w:tblGrid>
            <w:gridCol w:w="342.1409921671018"/>
            <w:gridCol w:w="2013.7441253263707"/>
            <w:gridCol w:w="4829.075718015666"/>
            <w:gridCol w:w="2175.0391644908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Can a Muslim will away his entire estate to whoever he wants?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 — a Muslim can bequeath only up to 1/3 of the net estate, and cannot bequeath to an existing legal heir at all, unless all other legal heirs unanimously consent after the testator's death.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Islamic law of wasiyyat as consistently applied by Pakistani courts; general principle repeatedly upheld by the Supreme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Does a non-Muslim executor face the same 1/3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 — non-Muslims are not bound by the Islamic 1/3 rule; their wills are governed by the Succession Act 1925's testamentary provisions, subject to probate.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Succession Act 1925, Part IX (wills) &amp; Part XI (probate)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What must an executor obtain before administering a non-Muslim estate under a will?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Probate of the will from the District Judge, which is conclusive evidence of the executor's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Succession Act 1925, ss.222, 227</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Is probate required for a Muslim's will?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Not in the same formal sense as under the Succession Act — Muslim wills are typically given effect through recognition by the Family/Civil Court in a succession or declaratory proceeding rather than a formal probate grant, since the Act's probate/administration chapters were designed primarily around the non-Muslim inheritance scheme, though a Muslim executor may still need a Letter of Administration/Succession Certificate to deal with third parties (banks, registrars).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Succession Act 1925, Part X (letters of administration) as applied in practice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Can the executor's authority be challenged?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Yes — through a caveat filed at the probate stage, or a suit to revoke the grant of probate/letters of administration where fraud, later will, or lack of proper execution is alleged.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Succession Act 1925, ss.283 (caveats), 263 (revocation of grant)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What powers does an executor have over estate property pending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General powers of administration — collecting debts, paying the deceased's debts and expenses, and distributing the residue per the will, subject to the court's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Succession Act 1925, ss.305 &amp; 307 (executor's powers)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Can an executor who intermeddles with the estate without authority be held liable?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Yes — a person who intermeddles with a deceased's estate without lawful authority becomes an "executor of his own wrong" and is liable to the rightful heirs/executor for that intermeddling.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Succession Act 1925, ss.303–304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Is there a time limit to apply for probate/letters of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The Act does not impose a rigid limitation for applying, but courts have discretion on delay, and long, unexplained delay can be weighed against the applicant's credibility or invite objections from other heirs.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Succession Act 1925, s.220 read with general limitation principles</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dwmz7242b0x8" w:id="4"/>
      <w:bookmarkEnd w:id="4"/>
      <w:r w:rsidDel="00000000" w:rsidR="00000000" w:rsidRPr="00000000">
        <w:rPr>
          <w:b w:val="1"/>
          <w:bCs w:val="1"/>
          <w:sz w:val="34"/>
          <w:szCs w:val="34"/>
          <w:rtl w:val="0"/>
        </w:rPr>
        <w:t xml:space="preserve">3. UNION COUNCIL / NADRA (Death Certificate, Succession Facilitation)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281.2552301255228"/>
        <w:gridCol w:w="3808.6192468619247"/>
        <w:gridCol w:w="2927.44769874477"/>
        <w:tblGridChange w:id="0">
          <w:tblGrid>
            <w:gridCol w:w="342.6778242677824"/>
            <w:gridCol w:w="2281.2552301255228"/>
            <w:gridCol w:w="3808.6192468619247"/>
            <w:gridCol w:w="2927.447698744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What is the Union Council's role at the start of a succession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Registration and issuance of the deceased's death certificate, which is the foundation document for every subsequent step (FRC, succession certificate,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NADRA Ordinance 2000; Local Government/Union Council registration rules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What is a Family Registration Certificate (FRC) and why is it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An NADRA-issued document listing every person registered under the deceased's family tree — name, CNIC/B-form, DOB, relationship — treated by courts and revenue authorities as prima facie reliable evidence of family composition (though not conclusive proof of heirship by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NADRA Ordinance 2000; FRC practice recognized across succession-certificate petitions, mutation proceedings, and Family Court cases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Can NADRA now issue Succession Certificates and Letters of Administration itself, instead of a civil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Yes, in provinces/territories where the relevant law has been enacted and notified — NADRA's Succession Facilitation Units (SFUs) can process uncontested applications for both movable (Succession Certificate) and immovable (Letter of Administration)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Punjab Letters of Administration and Succession Certificates Act 2021; KP Letters of Administration and Succession Certificate Act 2021; parallel ICT/Sindh legislation where enacted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What happens if NADRA finds a factual dispute among heirs during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NADRA must decline to process the application further and require the applicant to pursue the matter before the appropriate civil court under the Succession Act 1925 — NADRA has no power to adjudicate contested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Punjab Letters of Administration and Succession Certificates Act 2021, s.5(b)</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Can someone object after NADRA has already issued a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Yes — a person objecting after issuance may seek remedies available under any other applicable law (i.e., approach the civil court), since NADRA's issuance does not foreclose a proper legal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Punjab Letters of Administration and Succession Certificates Act 2021, s.8</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Is NADRA's authority to issue these certificates constitutionally valid, given that "succession" is traditionally a court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Yes — the Peshawar High Court upheld the KP Assembly's competence to enact this law, holding that a provincial law does not become invalid merely because it incidentally touches a subject otherwise within another forum's domain, and that the Act only provides a procedural mechanism with mandatory digital/electronic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i w:val="1"/>
                <w:iCs w:val="1"/>
                <w:rtl w:val="0"/>
              </w:rPr>
              <w:t xml:space="preserve">PHC judgment upholding KP Letters of Administration and Succession Certificate Act 2021</w:t>
            </w:r>
            <w:r w:rsidDel="00000000" w:rsidR="00000000" w:rsidRPr="00000000">
              <w:rPr>
                <w:rtl w:val="0"/>
              </w:rPr>
              <w:t xml:space="preserve"> (reported, Dawn.com, 2026)</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Did the court also flag any needed reform to this NADRA-only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Yes — the same PHC bench directed the KP government to consider amending the law in line with Punjab's approach, where the civil court was also empowered concurrently alongside NADRA (i.e., not NADRA-exclusive), to preserve access to judicial recourse.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Same PHC judgment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What are the current NADRA succession-certificate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Reported fee structure: Rs. 20,000 where the gross estate value exceeds Rs. 100,000, and Rs. 10,000 where it is below that threshold (subject to periodic revision — verify current notified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NADRA Succession Facilitation Unit fee schedule (as publicly reported)</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What penalties apply for false statements made to NADRA in a succession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The offences, penalties, and trial provisions of Chapter IX of the NADRA Ordinance 2000 apply mutatis mutandis to false averments made under the Letters of Administration and Succession Certificates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Punjab Letters of Administration and Succession Certificates Act 2021, s.11; NADRA Ordinance 2000, Chapter IX</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q3xjmqpewwuf" w:id="5"/>
      <w:bookmarkEnd w:id="5"/>
      <w:r w:rsidDel="00000000" w:rsidR="00000000" w:rsidRPr="00000000">
        <w:rPr>
          <w:b w:val="1"/>
          <w:bCs w:val="1"/>
          <w:sz w:val="34"/>
          <w:szCs w:val="34"/>
          <w:rtl w:val="0"/>
        </w:rPr>
        <w:t xml:space="preserve">4. CIVIL COURT / DISTRICT JUDGE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2002.2175732217574"/>
        <w:gridCol w:w="4352.008368200837"/>
        <w:gridCol w:w="2545.6066945606694"/>
        <w:tblGridChange w:id="0">
          <w:tblGrid>
            <w:gridCol w:w="460.1673640167364"/>
            <w:gridCol w:w="2002.2175732217574"/>
            <w:gridCol w:w="4352.008368200837"/>
            <w:gridCol w:w="2545.6066945606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Which court has jurisdiction to grant a Succession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The District Judge within whose jurisdiction the deceased ordinarily resided at death, or within whose jurisdiction any part of the deceased's property is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Succession Act 1925, s.371</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How must an application for a Succession Certificate be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By a petition to the District Judge, signed and verified in the manner prescribed for a plaint under the CPC 1908, setting out the time of death, the deceased's residence, family/near relatives and their residences, the right in which the petitioner claims, the absence of any impediment under s.370, and details of the debts/securities involved.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Succession Act 1925, s.372(1)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What happens if the petition contains a false averment?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The person verifying it is deemed to have committed an offence equivalent to giving false evidence in a legal proceeding.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Succession Act 1925, s.372(2) (cross-refers to the Penal Code false-statement offence)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Can a certificate be granted for only part of a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Yes — the court has discretion to grant a certificate for a portion of a debt, or even two or more certificates relating to the same debt, where 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Succession Act 1925, s.372(3); </w:t>
            </w:r>
            <w:r w:rsidDel="00000000" w:rsidR="00000000" w:rsidRPr="00000000">
              <w:rPr>
                <w:i w:val="1"/>
                <w:iCs w:val="1"/>
                <w:rtl w:val="0"/>
              </w:rPr>
              <w:t xml:space="preserve">Mst. Sufia Khanam v. Abdul Huq Khan</w:t>
            </w:r>
            <w:r w:rsidDel="00000000" w:rsidR="00000000" w:rsidRPr="00000000">
              <w:rPr>
                <w:rtl w:val="0"/>
              </w:rPr>
              <w:t xml:space="preserve"> (1968) 20 DLR 450</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Can the certificate later be extended to cover assets not originally listed?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Yes, on application by the certificate-holder, the court may extend the certificate to additional debts/securities, or otherwise amend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Succession Act 1925, ss.376, 378</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What security does the court require before granting the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The court may require the petitioner to furnish one or more sureties for the amount/value involved, to protect against wrongful distribution — this is standard practice, as reflected in reported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Succession Act 1925, s.375; Sindh High Court order granting certificate "upon furnishing one surety to the extent of the amount involved"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Does the Family Court or the ordinary Civil Court hear these 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The ordinary Civil/District Court, exercising powers as "District Judge" under the Succession Act — this is distinct from the Family Court's jurisdiction (maintenance, custody, dower, dissolution) under the Family Courts Act 1964.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Succession Act 1925, s.371; Family Courts Act 1964, Schedule (for contrast)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Can the court revoke a Succession Certificate once 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Yes — for reasons such as the proceedings being defective, the certificate having been obtained fraudulently, or it becoming useless/inoperative through subsequent circumstances.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Succession Act 1925, s.383</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How narrow is the High Court's power to interfere with a District Judge's factual findings on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Very narrow — reported case law holds the High Court cannot interfere merely because it differs, however profoundly, from the subordinate court's conclusions of fact where that court had jurisdiction and decided the question, rightly or wrongly.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Case law under Succession Act 1925, s.383 (as digested in legal commentary)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What if the case involves a minor heir, a legal dispute among heirs, or requires recording of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Such cases fall outside NADRA's summary administrative process and must proceed before the Civil Court under the full Succession Act procedure, since NADRA/SFUs decline factually or legally contested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Letters of Administration and Succession Certificates Act 2021, s.5(b); NADRA FAQ on declined cases</w:t>
            </w:r>
          </w:p>
        </w:tc>
      </w:tr>
    </w:tbl>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54yobpxyj81" w:id="6"/>
      <w:bookmarkEnd w:id="6"/>
      <w:r w:rsidDel="00000000" w:rsidR="00000000" w:rsidRPr="00000000">
        <w:rPr>
          <w:b w:val="1"/>
          <w:bCs w:val="1"/>
          <w:sz w:val="34"/>
          <w:szCs w:val="34"/>
          <w:rtl w:val="0"/>
        </w:rPr>
        <w:t xml:space="preserve">5. HIGH COURT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795.271966527197"/>
        <w:gridCol w:w="4205.1464435146445"/>
        <w:gridCol w:w="2016.9037656903765"/>
        <w:tblGridChange w:id="0">
          <w:tblGrid>
            <w:gridCol w:w="342.6778242677824"/>
            <w:gridCol w:w="2795.271966527197"/>
            <w:gridCol w:w="4205.1464435146445"/>
            <w:gridCol w:w="2016.90376569037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Can a District Judge's order on a succession certificate be appealed?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Yes — an appeal lies from orders of the District Judge to the High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Succession Act 1925, s.384 (appeals from orders of District Judge)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Does the High Court have any original/concurrent jurisdiction in succession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Yes — the Act preserves the concurrent jurisdiction of the High Court alongside the District Judge for probate/administration matters in appropriate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Succession Act 1925, s.264 (concurrent jurisdiction of High Court)</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Has the High Court upheld the constitutional validity of provincial laws letting NADRA bypass civil courts for succession certificates?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Yes — the Peshawar High Court held the KP Assembly competent to legislate the Letters of Administration and Succession Certificate Act 2021, rejecting the argument that this unconstitutionally encroached on judicial functions, while directing consideration of a Punjab-style amendment to keep civil courts concurrently empowered.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PHC judgment upholding KP Letters of Administration and Succession Certificate Act 2021</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Has the High Court intervened in ombudsperson-driven inheritance/property-rights cases (under the women's property rights enforcement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Yes — the Peshawar High Court recently set aside more than 80 rulings passed by the KP ombudsperson under the Enforcement of Women's Property Rights Act, holding that while the ombudsperson can conduct preliminary assessments and summary inquiries, matters involving disputed title, partition, or intricate questions of law and fact must be adjudicated by the civil courts, not decided by the ombudsperson.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i w:val="1"/>
                <w:iCs w:val="1"/>
                <w:rtl w:val="0"/>
              </w:rPr>
              <w:t xml:space="preserve">PHC ruling setting aside 80+ KP ombudsperson orders</w:t>
            </w:r>
            <w:r w:rsidDel="00000000" w:rsidR="00000000" w:rsidRPr="00000000">
              <w:rPr>
                <w:rtl w:val="0"/>
              </w:rPr>
              <w:t xml:space="preserve"> (reported, Daily Times, Dec. 2025)</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Can the High Court be approached where NADRA refuses to correct an FRC affecting an inheritance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Yes — where a database error affects property/inheritance rights and NADRA's internal Complaints Cell does not resolve it, the Federal Ombudsman or the High Court (constitutional writ jurisdiction) may be approached.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Constitution of Pakistan 1973, Art. 199; NADRA Ordinance 2000</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Can the High Court set aside a succession certificate obtained by concealment (e.g., a hidden divorce, hidden heir)?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Yes — in a reported matter, the High Court set aside concurrent findings of lower courts that had wrongly denied a widow her Shari share based on a disputed divorce claim, and directed recognition of her entitlement, including revocation/correction of the earlier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i w:val="1"/>
                <w:iCs w:val="1"/>
                <w:rtl w:val="0"/>
              </w:rPr>
              <w:t xml:space="preserve">Mst. Musarat v. Aziz Ahmad</w:t>
            </w:r>
            <w:r w:rsidDel="00000000" w:rsidR="00000000" w:rsidRPr="00000000">
              <w:rPr>
                <w:rtl w:val="0"/>
              </w:rPr>
              <w:t xml:space="preserve"> line of authority</w:t>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fs4gbnl2s0ml" w:id="7"/>
      <w:bookmarkEnd w:id="7"/>
      <w:r w:rsidDel="00000000" w:rsidR="00000000" w:rsidRPr="00000000">
        <w:rPr>
          <w:b w:val="1"/>
          <w:bCs w:val="1"/>
          <w:sz w:val="34"/>
          <w:szCs w:val="34"/>
          <w:rtl w:val="0"/>
        </w:rPr>
        <w:t xml:space="preserve">6. OBJECTING HEIR / CAVEATOR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1409921671018"/>
        <w:gridCol w:w="2072.396866840731"/>
        <w:gridCol w:w="3890.631853785901"/>
        <w:gridCol w:w="3054.8302872062663"/>
        <w:tblGridChange w:id="0">
          <w:tblGrid>
            <w:gridCol w:w="342.1409921671018"/>
            <w:gridCol w:w="2072.396866840731"/>
            <w:gridCol w:w="3890.631853785901"/>
            <w:gridCol w:w="3054.83028720626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What is a caveat in a succession proceeding?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 formal notice filed with the court by a person who wishes to be heard and object before probate, letters of administration, or (by extension in practice) a succession certificate is granted, converting what might otherwise be a summary grant into a contested proceeding.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Succession Act 1925, s.283 (caveats against grant of probate or administration)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Can an objecting heir stop the NADRA Succession Facilitation Unit process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Objections can be raised during NADRA's notice/objection period; if the objection reveals a genuine factual or legal controversy, NADRA declines further processing and refers the parties to the civil court, rather than adjudicating the dispute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Letters of Administration and Succession Certificates Act 2021, s.5(b); NADRA FAQ (post-processing decline procedure)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Is there a cost/refund consequence for a successful objection at NADRA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Yes — reported NADRA practice shows a partial fee refund (e.g., Rs. 5,000) where a case is declined post-processing due to an objection.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NADRA Succession Certificate FAQ</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On what grounds can an heir object to a will being probated?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Lack of proper execution/attestation, testamentary incapacity, fraud or undue influence, a later revoking will, or (for a Muslim will) exceeding the 1/3 limit or bequeathing to an heir without the other heirs' unanimous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Succession Act 1925, ss.63, 74 (execution/attestation); Islamic wasiyyat principles on the 1/3 limit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What relief can a successful objecting heir 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Revocation or amendment of a wrongly granted certificate/letters of administration, a declaration of their correct share, and/or an order directing partition, mutation correction, or return of misappropriated proceeds.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Succession Act 1925, ss.263, 383; general civil remedies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Can an heir who was denied a share as a woman use a special complaint mechanism instead of a normal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In provinces with an enforcement-of-women's-property-rights law in force (see role 10 below), yes — she may approach the designated Ombudsperson for a summary redress mechanism, but disputed title/partition questions will still be referred onward to the civil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KP Enforcement of Women's Property Rights Act 2019, ss.4–6; PHC ruling limiting ombudsperson's scope (Dec. 2025)</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13bhhxk55v4b" w:id="8"/>
      <w:bookmarkEnd w:id="8"/>
      <w:r w:rsidDel="00000000" w:rsidR="00000000" w:rsidRPr="00000000">
        <w:rPr>
          <w:b w:val="1"/>
          <w:bCs w:val="1"/>
          <w:sz w:val="34"/>
          <w:szCs w:val="34"/>
          <w:rtl w:val="0"/>
        </w:rPr>
        <w:t xml:space="preserve">7. PATWARI / TEHSILDAR (Revenue Office)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163.765690376569"/>
        <w:gridCol w:w="4366.694560669456"/>
        <w:gridCol w:w="2486.8619246861927"/>
        <w:tblGridChange w:id="0">
          <w:tblGrid>
            <w:gridCol w:w="342.6778242677824"/>
            <w:gridCol w:w="2163.765690376569"/>
            <w:gridCol w:w="4366.694560669456"/>
            <w:gridCol w:w="2486.8619246861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What is "mutation" (intiqal) and who processes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The entry changing the recorded owner of immovable property in the revenue record (Jamabandi/Fard) from the deceased to the heirs; the Patwari prepares and enters it, subject to the Revenue Officer's/Tehsildar's sanction.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West Pakistan Land Revenue Act 1967, ss.42–47</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What must an heir submit to the Patwari for an inheritance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Death certificate, FRC, CNICs of all heirs, and the existing land record reference; the Patwari then issues public notice to all interested persons.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West Pakistan Land Revenue Act 1967 (mutation procedure); NADRA/FRC practice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How long is the notice period before an uncontested mutation is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Commonly around 30 days from notice, absent any objection, though the exact period can vary by provincial rules and 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West Pakistan Land Revenue Act 1967, mutation rules (Revenue Manual practice)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What happens if an heir contests the mutation (denies another's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The Revenue Officer cannot resolve title disputes — the matter must be taken to the Civil Court via a suit for declaration/partition; the mutation entry itself only records possession/title as sanctioned, and remains subject to a competent court's decision on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General revenue-law principle; West Pakistan Land Revenue Act 1967</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Is a revenue mutation entry conclusive proof of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No — a mutation entry is only a fiscal/administrative record for revenue purposes and raises a rebuttable presumption; the underlying question of title/ownership is ultimately a civil-court matter if genuinely disputed.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Established revenue-law and civil-law principle applied by Pakistani courts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Can the Tehsildar refuse to enter a mutation without valid legal grounds?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 — refusal on improper grounds is open to appeal/revision within the revenue hierarchy (Assistant Commissioner/Collector, then Commissioner, then Board of Revenue), or a writ petition where such remedies are exhausted or a fundamental right is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West Pakistan Land Revenue Act 1967 (appeal/revision hierarchy, ss.161–164)</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Does the Patwari verify identity/family composition independently, or rely on NADRA?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In practice, revenue offices rely heavily on the NADRA-issued FRC and death certificate rather than independently investigating family composition, though the Patwari's notice process is meant to surface any undisclosed heir or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Revenue practice; FRC's stated use "alongside death certificates and the relevant land record" in mutation proceedings</w:t>
            </w:r>
          </w:p>
        </w:tc>
      </w:tr>
    </w:tbl>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6j0exxz3fdvv" w:id="9"/>
      <w:bookmarkEnd w:id="9"/>
      <w:r w:rsidDel="00000000" w:rsidR="00000000" w:rsidRPr="00000000">
        <w:rPr>
          <w:b w:val="1"/>
          <w:bCs w:val="1"/>
          <w:sz w:val="34"/>
          <w:szCs w:val="34"/>
          <w:rtl w:val="0"/>
        </w:rPr>
        <w:t xml:space="preserve">8. BANKS / SHARE REGISTRARS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002.2175732217574"/>
        <w:gridCol w:w="3837.9916317991633"/>
        <w:gridCol w:w="3177.112970711297"/>
        <w:tblGridChange w:id="0">
          <w:tblGrid>
            <w:gridCol w:w="342.6778242677824"/>
            <w:gridCol w:w="2002.2175732217574"/>
            <w:gridCol w:w="3837.9916317991633"/>
            <w:gridCol w:w="3177.112970711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What document must a bank see before releasing a deceased account-holder's funds to heirs?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 valid Succession Certificate (or Letters of Administration, where applicable) — obtained either from a civil court or from NADRA's Succession Facilitation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Succession Act 1925, ss.381–382 (effect of certificate — protects debtors who pay under it in good faith)</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Is a bank protected if it pays under a succession certificate that is later found 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Yes — payment made in good faith to the holder of a certificate under the Act is a valid discharge of the debtor's (bank's) liability, even if the certificate is later revoked, so long as the payment was made without notice of any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Succession Act 1925, s.381</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Can a bank release funds without a succession certificate for small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Some banks/institutions follow internal policies allowing release of small balances against an indemnity bond and heirship affidavit rather than insisting on a formal certificate, but this is a matter of institutional risk policy, not a statutory exemption, and can vary by bank/SBP prudential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Institutional/banking practice (not a Succession Act provision) — verify against the specific bank's/SBP's current policy</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How does a share registrar transfer a deceased shareholder's securities?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Similarly, on presentation of a Succession Certificate specifically covering those securities (or, for larger/company-share matters, sometimes Letters of Administration), together with the transfer deed/documents required by the company/registrar and, where listed, SECP/CDC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Succession Act 1925, ss.370–372 (securities within scope of "debt"); Companies Act 2017 / CDC regulations for transmission of shares (separate corporate-law layer)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Can a bank or registrar itself be made a party to a succession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Not typically as a contesting party on the merits of inheritance shares, but it may be impleaded to ensure compliance with whatever order the court eventually passes regarding the specific account/securities held.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General civil procedure principle (necessary/proper parties)</w:t>
            </w:r>
          </w:p>
        </w:tc>
      </w:tr>
    </w:tbl>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p70m9kd89iig" w:id="10"/>
      <w:bookmarkEnd w:id="10"/>
      <w:r w:rsidDel="00000000" w:rsidR="00000000" w:rsidRPr="00000000">
        <w:rPr>
          <w:b w:val="1"/>
          <w:bCs w:val="1"/>
          <w:sz w:val="34"/>
          <w:szCs w:val="34"/>
          <w:rtl w:val="0"/>
        </w:rPr>
        <w:t xml:space="preserve">9. UNION COUNCIL ARBITRATION COUNCIL</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3206.4853556485355"/>
        <w:gridCol w:w="3382.7196652719663"/>
        <w:gridCol w:w="2428.1171548117154"/>
        <w:tblGridChange w:id="0">
          <w:tblGrid>
            <w:gridCol w:w="342.6778242677824"/>
            <w:gridCol w:w="3206.4853556485355"/>
            <w:gridCol w:w="3382.7196652719663"/>
            <w:gridCol w:w="2428.11715481171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Does the Arbitration Council under the MFLO have a role in succession/inheritance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Its statutory role under the MFLO 1961 is limited to reconciliation on Talaq notices and permission for second marriage — it has no adjudicatory role over inheritance shares or succession certificates, which fall exclusively to the Civil Court (or NADRA's SFU for uncontested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MFLO 1961, ss.6–7</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Can heirs still use the Union Council/Arbitration Council informally to record family consensus on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In practice, some Union Councils/local bodies issue informal "heirship" or family-tree certificates (sometimes referenced loosely as a "Wirasat Namah" or heirship list) that NADRA may request where multiple heirs are involved, but these are administrative aids, not a legally binding adjudication of shares.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NADRA succession-certificate documentation practice (heirship certificate from local union council, where requested)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Is a family settlement/relinquishment made before a Union Council legally binding on a woman's inheritance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It can be challenged — if relinquishment was obtained under family pressure, coercion, or without genuine free consent, it is not a valid waiver, and the woman can still pursue her legal share through the civil court or the applicable women's-property-rights enforcement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PPC 1860, s.498-A (criminalizing deceitful/illegal deprivation); general contract-law principle voiding consent obtained by coercion/fraud</w:t>
            </w:r>
          </w:p>
        </w:tc>
      </w:tr>
    </w:tbl>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v5i8lurmke1k" w:id="11"/>
      <w:bookmarkEnd w:id="11"/>
      <w:r w:rsidDel="00000000" w:rsidR="00000000" w:rsidRPr="00000000">
        <w:rPr>
          <w:b w:val="1"/>
          <w:bCs w:val="1"/>
          <w:sz w:val="34"/>
          <w:szCs w:val="34"/>
          <w:rtl w:val="0"/>
        </w:rPr>
        <w:t xml:space="preserve">10. ENFORCEMENT MECHANISM UNDER THE ENFORCEMENT OF WOMEN'S PROPERTY RIGHTS LAW</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Important accuracy note:</w:t>
      </w:r>
      <w:r w:rsidDel="00000000" w:rsidR="00000000" w:rsidRPr="00000000">
        <w:rPr>
          <w:rtl w:val="0"/>
        </w:rPr>
        <w:t xml:space="preserve"> Well-documented provincial enactments of this kind are the </w:t>
      </w:r>
      <w:r w:rsidDel="00000000" w:rsidR="00000000" w:rsidRPr="00000000">
        <w:rPr>
          <w:b w:val="1"/>
          <w:bCs w:val="1"/>
          <w:rtl w:val="0"/>
        </w:rPr>
        <w:t xml:space="preserve">Khyber Pakhtunkhwa Enforcement of Women's Property Rights Act 2019</w:t>
      </w:r>
      <w:r w:rsidDel="00000000" w:rsidR="00000000" w:rsidRPr="00000000">
        <w:rPr>
          <w:rtl w:val="0"/>
        </w:rPr>
        <w:t xml:space="preserve"> and the </w:t>
      </w:r>
      <w:r w:rsidDel="00000000" w:rsidR="00000000" w:rsidRPr="00000000">
        <w:rPr>
          <w:b w:val="1"/>
          <w:bCs w:val="1"/>
          <w:rtl w:val="0"/>
        </w:rPr>
        <w:t xml:space="preserve">Punjab Enforcement of Women's Property Rights Act 2021</w:t>
      </w:r>
      <w:r w:rsidDel="00000000" w:rsidR="00000000" w:rsidRPr="00000000">
        <w:rPr>
          <w:rtl w:val="0"/>
        </w:rPr>
        <w:t xml:space="preserve">. Some secondary sources refer to a "Sindh Enforcement of Women's Property Rights Act 2019," but an official government-linked discussion as recent as January 2025 explicitly listed </w:t>
      </w:r>
      <w:r w:rsidDel="00000000" w:rsidR="00000000" w:rsidRPr="00000000">
        <w:rPr>
          <w:b w:val="1"/>
          <w:bCs w:val="1"/>
          <w:rtl w:val="0"/>
        </w:rPr>
        <w:t xml:space="preserve">Sindh (along with Balochistan and Gilgit-Baltistan) as still lacking such a dedicated Act</w:t>
      </w:r>
      <w:r w:rsidDel="00000000" w:rsidR="00000000" w:rsidRPr="00000000">
        <w:rPr>
          <w:rtl w:val="0"/>
        </w:rPr>
        <w:t xml:space="preserve">, describing this as a legislative gap the provincial and federal ombudspersons were pushing to close. Before building this into a live system for Sindh specifically, verify with the Sindh Law Department/Provincial Assembly record whether a Sindh-specific Act has since been passed — the mechanics below reflect the KP/Punjab model, which Sindh may or may not have replicated.</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251.8828451882846"/>
        <w:gridCol w:w="4117.029288702929"/>
        <w:gridCol w:w="2648.4100418410044"/>
        <w:tblGridChange w:id="0">
          <w:tblGrid>
            <w:gridCol w:w="342.6778242677824"/>
            <w:gridCol w:w="2251.8828451882846"/>
            <w:gridCol w:w="4117.029288702929"/>
            <w:gridCol w:w="2648.41004184100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Law Ref / Judgment</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Who can file a complaint under this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Any woman who has been deprived of ownership or possession of her property (including inherited property) by harassment, coercion, force, or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KP Enforcement of Women's Property Rights Act 2019, s.4; Punjab Enforcement of Women's Property Rights Act 2021, s.4</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Who hears the complaint?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The Ombudsperson appointed under the Protection Against Harassment of Women at the Workplace Act 2010, given additional jurisdiction under this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Both Acts, s.2 (definition of Ombudsperson)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What is the process after a complaint is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The Ombudsperson makes a preliminary assessment; if further probe is needed, refers it to the Deputy Commissioner for a summary enquiry and report within 15 days; the Ombudsperson then hears objections from both sides and decides.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Punjab Act 2021, s.4(2)–(5)</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What relief can the Ombudsperson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Directing the Deputy Commissioner, a state functionary, or even a private person to restore or confer possession/title of the property on the complainant, including measures to perfect that title, with police assistance if needed for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Punjab Act 2021, s.5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What is the statutory timeline for a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Broadly around 60 days from receipt of the complaint for a full hearing/decision, per the amended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Punjab Act 2021, s.4; 2021 Amendment Act summary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Can this Ombudsperson decide who actually owns disputed property or order its partition?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No — recent High Court authority holds the Ombudsperson can only conduct preliminary assessments and summary inquiries; matters involving disputed title, partition, or intricate questions of law and fact must go to the civil courts, and the Ombudsperson lacks power to direct Deputy Commissioners on property division in such contested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i w:val="1"/>
                <w:iCs w:val="1"/>
                <w:rtl w:val="0"/>
              </w:rPr>
              <w:t xml:space="preserve">PHC ruling setting aside 80+ KP ombudsperson orders</w:t>
            </w:r>
            <w:r w:rsidDel="00000000" w:rsidR="00000000" w:rsidRPr="00000000">
              <w:rPr>
                <w:rtl w:val="0"/>
              </w:rPr>
              <w:t xml:space="preserve">, Daily Times, Dec. 2025</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Has this law itself been constitutionally challenged?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Yes — a petition before the Peshawar High Court challenged ss.7 and 12 of the KP Act as unconstitutionally vesting judicial power in an executive ombudsperson, contrary to separation of judiciary from the executive; the outcome of that specific constitutional challenge should be checked against the latest PHC record, separate from the December 2025 ruling on the ombudsperson's practical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Constitutional petition before the Peshawar High Court re: KP Enforcement of Women's Property Rights Act 2019, ss.7 &amp; 12</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Does using this Ombudsperson mechanism bar a woman from also filing a civil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Generally, the complaint process assumes no parallel court proceedings are already pending on the same property; where a genuine dispute emerges, the matter is effectively channeled back to the civil court rather than being decided by the Ombudsperson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Both Acts' procedural scheme; PHC Dec. 2025 ruling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Does the law also address inheritance-related coercion tactics like forced Quran-oath renunciation of inheritance?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Yes — the broader criminal-law and human-rights framework in Pakistan criminalizes compelling a woman to swear on the Quran to remain unmarried or waive her inheritance share, alongside the property-rights enforcement mechanism's civil remedy.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PPC 1860 (as amended, provisions addressing Quran/marriage-based deprivation of inheritance); U.S. State Department human rights reporting on enforcement gaps</w:t>
            </w:r>
          </w:p>
        </w:tc>
      </w:tr>
    </w:tbl>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