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kykwfsxkn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APPLICABLE LAWS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Reporting of Violence / Initial Application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Applicable statutory framework governing domestic violence protection (the Act, as cited in the source document — sections 15–28)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of Criminal Procedure, 1898 — governs registration of a parallel FIR where the conduct also amounts to an offence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Pakistan Penal Code, 1860 — substantive criminal law where physical assault, hurt, or sexual violence is involved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Application for Interim Order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15 of the Act — immediate, temporary protection pending final disposal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for Protection Order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16 of the Act — no-contact, stay-away, and weapon-surrender directions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Application for Residence Order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17 of the Act — right of the aggrieved person to remain in the shared household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Application for Monetary Order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18 of the Act — maintenance or compensation to the aggrieved person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Parallel Criminal Proceedings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Pakistan Penal Code, 1860 — substantive offence(s) arising from the violence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of Criminal Procedure, 1898 — procedure for registration and investigation of the FIR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Defendant's Non-Appearance / Ex-Parte Proceedings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Provisions of the Act permitting the Court to proceed and pass orders even in the defendant's absence, once notice has issued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Violation of a Protection or Residence Order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24 of the Act — makes violation of such an order a distinct criminal offence, carrying imprisonment and/or fine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Execution/Enforcement of Orders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Section 25 of the Act — casts a legal obligation on police and the Protection Officer to enforce orders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Appeal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28 of the Act — right of appeal to the Sessions Court/designated appellate forum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Court's constitutional jurisdiction, which remains available independently of the statutory appeal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