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COURT FEE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court fee is prescribed  under the Domestic Violence Act, since the proceeding is initiated by application rather than by a conventional plaint, and its summary, protective character — aimed at disposal within about 90 days — takes it outside the ad valorem civil-suit fee structure altogether.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