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0ayqux4nc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RIGHTS AND RESPONSIBILITIES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Reporting of Violence / Initial Application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Aggrieved person's right to report directly to the WPO, VAWC, the helpline (1043), or the Court itself, without a mandatory pre-condition of formal legal notice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Interim Order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Aggrieved person's right to seek immediate, temporary protection without waiting for full trial — Section 15 of the Act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Protection Order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Aggrieved person's right to seek no-contact, stay-away, and weapon-surrender directions — Section 16 of the Act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Residence Order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Aggrieved person's right to continue residing in the shared home — Section 17 of the Act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Application for Monetary Order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Aggrieved person's right to maintenance or compensation — Section 18 of the Act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Parallel Criminal Proceedings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Aggrieved person's right to pursue criminal remedies (FIR/PPC) independently of, and in parallel with, the protective application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Defendant's Non-Appearance / Ex-Parte Proceedings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Court's responsibility to ensure the aggrieved person is not left without protection due to the defendant's absence; it may proceed ex-parte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Violation of a Protection or Residence Order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Defendant's responsibility to comply with any order passed; violation exposes him to separate criminal liability — Section 24 of the Act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Execution/Enforcement of Orders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Police and Protection Officer's legal obligation to assist in enforcing orders — Section 25 of the Act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 of either party to appeal within 30 days — Section 28 of the Act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invoke the High Court's constitutional jurisdiction even after the Sessions Court's decision, which is otherwise generally final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