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8h34xssk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strict limitation period; an application can be filed at any point violence occurs, even if ongoing for a while — though unexplained delay may weaken the case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Intended to be immediate/temporary in nature, given the urgency of the relief — Section 15 of the Act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Determined as part of the overall summary trial process — Section 16 read with Section 21 of the Act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Determined as part of the overall summary trial process — Section 17 read with Section 21 of the Act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Determined as part of the overall summary trial process — Section 18 read with Section 21 of the Act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Runs on its own timeline under the Code of Criminal Procedure, 1898, independent of the Family Court's summary process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Court proceeds without delay once notice is shown to have been served, to avoid leaving the aggrieved person unprotected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Treated as an immediate offence upon breach — Section 24 of the Act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specific timeline stated; enforcement obligation on police/Protection Officer arises as soon as the order is passed — Section 25 of the Act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Trial (overall) aimed at disposal within about 90 days — summary trial under Section 21 of the Act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to be filed within 30 days — Section 28 of the Act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