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dkn414bgg9bj" w:id="0"/>
      <w:bookmarkEnd w:id="0"/>
      <w:r w:rsidDel="00000000" w:rsidR="00000000" w:rsidRPr="00000000">
        <w:rPr>
          <w:rtl w:val="0"/>
        </w:rPr>
        <w:t xml:space="preserve">Court Fee </w:t>
      </w:r>
    </w:p>
    <w:p w:rsidR="00000000" w:rsidDel="00000000" w:rsidP="00000000" w:rsidRDefault="00000000" w:rsidRPr="00000000" w14:paraId="00000003">
      <w:pPr>
        <w:rPr>
          <w:b w:val="1"/>
          <w:bCs w:val="1"/>
        </w:rPr>
      </w:pPr>
      <w:r w:rsidDel="00000000" w:rsidR="00000000" w:rsidRPr="00000000">
        <w:rPr>
          <w:rtl w:val="0"/>
        </w:rPr>
        <w:t xml:space="preserve">   </w:t>
      </w:r>
      <w:r w:rsidDel="00000000" w:rsidR="00000000" w:rsidRPr="00000000">
        <w:rPr>
          <w:b w:val="1"/>
          <w:bCs w:val="1"/>
          <w:rtl w:val="0"/>
        </w:rPr>
        <w:t xml:space="preserve">1. Through the Civil Court (contested/traditional route)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Probate and Letters of Administration remain chargeable </w:t>
      </w:r>
      <w:r w:rsidDel="00000000" w:rsidR="00000000" w:rsidRPr="00000000">
        <w:rPr>
          <w:b w:val="1"/>
          <w:bCs w:val="1"/>
          <w:rtl w:val="0"/>
        </w:rPr>
        <w:t xml:space="preserve">ad valorem</w:t>
      </w:r>
      <w:r w:rsidDel="00000000" w:rsidR="00000000" w:rsidRPr="00000000">
        <w:rPr>
          <w:rtl w:val="0"/>
        </w:rPr>
        <w:t xml:space="preserve"> — as a percentage of the value of the estate — under Schedule I of the Court Fees Act, 1870 (as applicable in the relevant province).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 Succession Certificate is similarly chargeable ad valorem on the value of the movable property covered, under the corresponding Article of Schedule I.</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This ad valorem structure is distinct from the flat Rs. 15 fee under Section 19, FCA 1964, which applies only to Family Court suits (maintenance, dowry, dissolution) — the Family Courts Act's concession does not extend to succession matters filed before the Civil Court.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Through NADRA (Letters of Administration and Certificate of Succession Act, 2020 — uncontested route)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NADRA charges its own administrative processing fee, separate from the Court Fees Act structure, published in its official fee schedule: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Rs. 20,000</w:t>
      </w:r>
      <w:r w:rsidDel="00000000" w:rsidR="00000000" w:rsidRPr="00000000">
        <w:rPr>
          <w:rFonts w:ascii="Arial Unicode MS" w:cs="Arial Unicode MS" w:eastAsia="Arial Unicode MS" w:hAnsi="Arial Unicode MS"/>
          <w:rtl w:val="0"/>
        </w:rPr>
        <w:t xml:space="preserve"> where the asset/property value exceeds Rs. 100,000 for assets ≥ 100,000.</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Rs. 10,000</w:t>
      </w:r>
      <w:r w:rsidDel="00000000" w:rsidR="00000000" w:rsidRPr="00000000">
        <w:rPr>
          <w:rtl w:val="0"/>
        </w:rPr>
        <w:t xml:space="preserve"> where the value is below that threshold, per NADRA's published schedule.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Sindh specifically</w:t>
      </w:r>
      <w:r w:rsidDel="00000000" w:rsidR="00000000" w:rsidRPr="00000000">
        <w:rPr>
          <w:rtl w:val="0"/>
        </w:rPr>
        <w:t xml:space="preserve">, the fees are Rs.22,000/- and Rs. 10,000/- respectively for Letter of Administration and Succession Certificate.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A duplicate certificate costs </w:t>
      </w:r>
      <w:r w:rsidDel="00000000" w:rsidR="00000000" w:rsidRPr="00000000">
        <w:rPr>
          <w:b w:val="1"/>
          <w:bCs w:val="1"/>
          <w:rtl w:val="0"/>
        </w:rPr>
        <w:t xml:space="preserve">Rs. 5,000</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Certificate verification is available for </w:t>
      </w:r>
      <w:r w:rsidDel="00000000" w:rsidR="00000000" w:rsidRPr="00000000">
        <w:rPr>
          <w:b w:val="1"/>
          <w:bCs w:val="1"/>
          <w:rtl w:val="0"/>
        </w:rPr>
        <w:t xml:space="preserve">Rs. 50</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Importantly, in September 2024, the </w:t>
      </w:r>
      <w:r w:rsidDel="00000000" w:rsidR="00000000" w:rsidRPr="00000000">
        <w:rPr>
          <w:b w:val="1"/>
          <w:bCs w:val="1"/>
          <w:rtl w:val="0"/>
        </w:rPr>
        <w:t xml:space="preserve">Sindh High Court</w:t>
      </w:r>
      <w:r w:rsidDel="00000000" w:rsidR="00000000" w:rsidRPr="00000000">
        <w:rPr>
          <w:rtl w:val="0"/>
        </w:rPr>
        <w:t xml:space="preserve"> intervened after a petition challenged NADRA's Rs. 22,000 fee as excessive: A two-judge bench comprising Justice Salahuddin Panhwar and Justice Amjad Ali Sahito noted that prima facie, the Rs22,000 fees/charges in question was not justified. It restrained Nadra officials from charging any fee for succession certificates / letter of administration except a formal fee as required for issuance of CNICs and similar documents. The lawyer for the petitioner submitted that Nadra was charging fees even in cases where succession certificate and letter of administration were declined by its officials, and that Section 5(2)(h) of The Nadra Ordinance 2000 did not authorise the authority to charge fees in such cases but only in cases where some "services" were provided.</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This means the standard NADRA fee schedule (Rs. 10,000–22,000) is </w:t>
      </w:r>
      <w:r w:rsidDel="00000000" w:rsidR="00000000" w:rsidRPr="00000000">
        <w:rPr>
          <w:b w:val="1"/>
          <w:bCs w:val="1"/>
          <w:rtl w:val="0"/>
        </w:rPr>
        <w:t xml:space="preserve">currently under judicial challenge in Sindh</w:t>
      </w:r>
      <w:r w:rsidDel="00000000" w:rsidR="00000000" w:rsidRPr="00000000">
        <w:rPr>
          <w:rtl w:val="0"/>
        </w:rPr>
        <w:t xml:space="preserve">, and its legal basis has been questioned — so the fee position is not fully settled and may vary by province or change further depending on the outcome of that litigation.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