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zlefj6ac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JURISDICTION — ORIGINAL, APPELLATE, TERRITORIAL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applicable — pre-application step; the process begins with obtaining the death certificate from the Union Council/NADRA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Original: Civil Court of the district where the deceased resided or where the property is located — Sections 370–390, Succession Act, 1925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Civil Court — Section 278, Succession Act, 1925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Concurrent: High Court, in some cases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Civil Court — Section 276, Succession Act, 1925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Concurrent: High Court, in some cases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Original/Administrative: NADRA directly, bypassing the court altogether — Letters of Administration and Certificate of Succession Act, 2020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Original: Same court where the application is pending, upon conversion into a contested proceeding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Original: District Judge (or High Court, which has concurrent jurisdiction in some cases)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Territorial: Determined by where the immovable property is situated / where the cause of action arose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Original/Administrative: Local revenue office (patwari/tehsildar) for immovable property mutation — Land Revenue Act, 1967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Original/Administrative: Banks, share registrars, or relevant institutions for movable assets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Original: Dedicated grievance mechanism created under the Enforcement of Women's Property Rights Act, 2019 (Sindh)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Appellate: High Court, generally within 30 days of the judgment — Civil Procedure Code, 1908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recourse: Constitutional remedies before the High Court in exceptional cases, though the High Court's decision is usually final.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