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c8vkrhmov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REMEDIES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Formal record of an uncooperative heir being put on notice, supporting subsequent proceedings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Grant of a succession certificate confirming entitlement to movable property — Sections 370–390, Succession Act, 1925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Grant of Letters of Administration, authorizing management and distribution of the estate — Section 278, Succession Act, 1925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Grant of Probate, authorizing the executor to carry out the will — Section 276, Succession Act, 1925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 issuance of the certificate/letters through NADRA without court involvement, for uncontested cases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Court's determination on the disputed points — who qualifies as a legal heir, whether a will is genuine, and what the correct shares are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Decree of partition specifying exactly how the property is to be divided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Formal transfer of immovable property through mutation (intiqal) and of movable assets through presentation of the certificate to relevant institutions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to a dedicated grievance mechanism specifically enabling women to enforce their inheritance rights — Enforcement of Women's Property Rights Act, 2019 (Sindh)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Appeal to the High Court, generally final, subject only to further constitutional remedies in exceptional cases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