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dpa8hnn0q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 AND RESPONSIBILITIES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Heirs' right/responsibility to identify all legal heirs according to the applicable religion-based personal law before proceeding further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Applicant's responsibility to declare, truthfully, the names, addresses, and relationship of all legal heirs and details of assets; giving false information is a criminal offence under the Pakistan Penal Code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responsibility of truthful disclosure applies, since there is no will and the estate must be managed and distributed among heirs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Executor's responsibility to establish the validity of the will and seek authority to carry out its terms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Heirs' right to bypass court altogether for straightforward, uncontested cases under the 2020 Act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Right of any heir or interested party to dispute the heirship claim, list of heirs, or validity of a will by filing a caveat/objection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Excluded heir's right to claim their share where another heir is in possession and denying it, subject to the 12-year limitation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 of the revenue office to update the jamabandi to reflect the new owners under the Land Revenue Act, 1967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of banks/registrars to transfer movable assets upon presentation of the succession certificate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the practical problem of women — especially sisters and daughters — being pressured or denied their share during mutation even after a certificate is issued, and their right to a dedicated grievance mechanism under the 2019 Act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Right of any party dissatisfied with the trial court's order to appeal to the High Court within the prescribed period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