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hv08d243m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Identification of Legal Heirs / Death Certificate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fixed timeline stated; process begins immediately upon death, with the death certificate obtained as the first step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Application for Succession Certificate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limitation period for claiming a share of inheritance, since the right to inherited property does not expire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Application for Letters of Administration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limitation period for the underlying claim to a share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Application for Probate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limitation period for the underlying claim to a share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NADRA Route for Uncontested Cases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specific timeline stated; process has significantly sped up straightforward, uncontested cases since 2020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Objections/Caveat by Heirs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Court issues public notice (usually published in a newspaper) inviting objections; no fixed period specified in the document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Partition Suit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Must generally be filed within 12 years of the cause of action — Limitation Act, 1908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Execution/Mutation of Property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specific timeline stated for mutation before the revenue office or presentation to banks/registrars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Denial of Women's Inheritance Rights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specific timeline stated; grievance mechanism available under the 2019 Act once denial occurs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Appeal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Generally to be filed within 30 days of the judgment — Civil Procedure Code, 1908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