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ou0zg9mqsoyh" w:id="0"/>
      <w:bookmarkEnd w:id="0"/>
      <w:r w:rsidDel="00000000" w:rsidR="00000000" w:rsidRPr="00000000">
        <w:rPr>
          <w:rtl w:val="0"/>
        </w:rPr>
        <w:t xml:space="preserve"> TIMELINE (Typical Duration per Stage)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5.6869009584666"/>
        <w:gridCol w:w="4759.744408945687"/>
        <w:gridCol w:w="1694.5686900958467"/>
        <w:tblGridChange w:id="0">
          <w:tblGrid>
            <w:gridCol w:w="2905.6869009584666"/>
            <w:gridCol w:w="4759.744408945687"/>
            <w:gridCol w:w="1694.56869009584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Approx.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Filing &amp; registration of 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GWA 1890 s.8, s.10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Jurisdiction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1–2 hearings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GWA 1890 s.9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Notice to respondent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2–4 weeks (service)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GWA 1890 s.11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Written statement &amp; appearance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2–4 weeks after 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FCA 1964 s.9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Pre-trial/settlement hearing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1–2 months from filing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FCA 1964 s.10(3)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Interim custody order (if sought)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Can be granted within days/weeks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GWA 1890 s.12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Evidence recording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2–6 months (case-dependent)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FCA 1964 s.11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Final judgment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Often within 4–7 months (FCA 1964 encourages speedy disposal)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GWA 1890 s.7, s.17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Enforcement/return of 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On application, post-judgment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GWA 1890 s.25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Modification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Fresh application anytime circumstances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GWA 1890 s.17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Appeal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Must file within ~30 days of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FCA 1964 s.14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(Actual timelines vary widely by court workload and contest level; family courts are meant to follow a simplified, expedited procedure.)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