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ugcfa0ny6wif" w:id="0"/>
      <w:bookmarkEnd w:id="0"/>
      <w:r w:rsidDel="00000000" w:rsidR="00000000" w:rsidRPr="00000000">
        <w:rPr>
          <w:rtl w:val="0"/>
        </w:rPr>
        <w:t xml:space="preserve">COURT FEE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Guardianship petitions attract a </w:t>
      </w:r>
      <w:r w:rsidDel="00000000" w:rsidR="00000000" w:rsidRPr="00000000">
        <w:rPr>
          <w:b w:val="1"/>
          <w:bCs w:val="1"/>
          <w:rtl w:val="0"/>
        </w:rPr>
        <w:t xml:space="preserve">fixed/nominal court fee</w:t>
      </w:r>
      <w:r w:rsidDel="00000000" w:rsidR="00000000" w:rsidRPr="00000000">
        <w:rPr>
          <w:rtl w:val="0"/>
        </w:rPr>
        <w:t xml:space="preserve"> (not ad valorem), typically a modest flat amount plus a small process fee for notices — under the </w:t>
      </w:r>
      <w:r w:rsidDel="00000000" w:rsidR="00000000" w:rsidRPr="00000000">
        <w:rPr>
          <w:b w:val="1"/>
          <w:bCs w:val="1"/>
          <w:rtl w:val="0"/>
        </w:rPr>
        <w:t xml:space="preserve">Court Fees Act, 1870</w:t>
      </w:r>
      <w:r w:rsidDel="00000000" w:rsidR="00000000" w:rsidRPr="00000000">
        <w:rPr>
          <w:rtl w:val="0"/>
        </w:rPr>
        <w:t xml:space="preserve"> as amended by each province (Punjab, Sindh, KPK, Balochistan have their own schedules; ICT follows the 1870 Act as-is).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forum itself doesn't set the fee rate; it applies the Court Fees Act — </w:t>
      </w:r>
      <w:r w:rsidDel="00000000" w:rsidR="00000000" w:rsidRPr="00000000">
        <w:rPr>
          <w:i w:val="1"/>
          <w:iCs w:val="1"/>
          <w:rtl w:val="0"/>
        </w:rPr>
        <w:t xml:space="preserve">FCA 1964 s.5 (forum only)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Interim applications (s.12 GWA) — usually low/nominal fee as an incidental application within the main case.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of minor / modification applications — treated as fresh applications, fixed nominal fee.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— separate, slightly higher fixed appellate court fee — </w:t>
      </w:r>
      <w:r w:rsidDel="00000000" w:rsidR="00000000" w:rsidRPr="00000000">
        <w:rPr>
          <w:i w:val="1"/>
          <w:iCs w:val="1"/>
          <w:rtl w:val="0"/>
        </w:rPr>
        <w:t xml:space="preserve">FCA 1964 s.14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Indigent applicants may seek fee exemption/reduction (pauper application); certain provinces exempt women in specific related family matters, though this varies by provincial schedule.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this fee framework is not detailed in your uploaded document — added based on the general Court Fees Act, 1870 framework applicable to family court proceedings.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